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678A" w14:textId="77777777" w:rsidR="00E7293F" w:rsidRPr="00A00A30" w:rsidRDefault="00E7293F" w:rsidP="00E7293F">
      <w:pPr>
        <w:pStyle w:val="Default"/>
        <w:spacing w:line="360" w:lineRule="auto"/>
        <w:jc w:val="center"/>
        <w:rPr>
          <w:rFonts w:ascii="Times New Roman" w:eastAsia="Calibri" w:hAnsi="Times New Roman" w:cs="Times New Roman"/>
          <w:b/>
          <w:bCs/>
        </w:rPr>
      </w:pPr>
      <w:r w:rsidRPr="00A00A30">
        <w:rPr>
          <w:rFonts w:ascii="Times New Roman" w:eastAsia="Calibri" w:hAnsi="Times New Roman" w:cs="Times New Roman"/>
          <w:b/>
          <w:bCs/>
        </w:rPr>
        <w:t xml:space="preserve">SZÍNHÁZ- ÉS FILMMŰVÉSZETI SZAKÍRÓ, KRITIKUS SZAKIRÁNYÚ TOVÁBBKÉPZÉSI SZAK </w:t>
      </w:r>
    </w:p>
    <w:p w14:paraId="2FB3D0E1" w14:textId="77777777" w:rsidR="00192988" w:rsidRPr="00A00A30" w:rsidRDefault="00192988" w:rsidP="00E7293F">
      <w:pPr>
        <w:pStyle w:val="Default"/>
        <w:spacing w:line="360" w:lineRule="auto"/>
        <w:jc w:val="center"/>
        <w:rPr>
          <w:rFonts w:ascii="Times New Roman" w:eastAsia="Calibri" w:hAnsi="Times New Roman" w:cs="Times New Roman"/>
          <w:b/>
          <w:bCs/>
        </w:rPr>
      </w:pPr>
    </w:p>
    <w:p w14:paraId="206126F9" w14:textId="77777777" w:rsidR="00192988" w:rsidRPr="00A00A30" w:rsidRDefault="00192988" w:rsidP="00E7293F">
      <w:pPr>
        <w:pStyle w:val="Default"/>
        <w:spacing w:line="360" w:lineRule="auto"/>
        <w:jc w:val="center"/>
        <w:rPr>
          <w:rFonts w:ascii="Times New Roman" w:hAnsi="Times New Roman" w:cs="Times New Roman"/>
          <w:b/>
        </w:rPr>
      </w:pPr>
      <w:r w:rsidRPr="00A00A30">
        <w:rPr>
          <w:rFonts w:ascii="Times New Roman" w:eastAsia="Calibri" w:hAnsi="Times New Roman" w:cs="Times New Roman"/>
          <w:b/>
          <w:bCs/>
        </w:rPr>
        <w:t>Képzési és kimeneti követelmények</w:t>
      </w:r>
    </w:p>
    <w:p w14:paraId="4A20F320" w14:textId="77777777" w:rsidR="00E7293F" w:rsidRPr="00A00A30" w:rsidRDefault="00E7293F" w:rsidP="00E7293F">
      <w:pPr>
        <w:pStyle w:val="Default"/>
        <w:spacing w:line="360" w:lineRule="auto"/>
        <w:jc w:val="center"/>
        <w:rPr>
          <w:rFonts w:ascii="Times New Roman" w:hAnsi="Times New Roman" w:cs="Times New Roman"/>
          <w:b/>
        </w:rPr>
      </w:pPr>
    </w:p>
    <w:p w14:paraId="6D1BF634" w14:textId="77777777" w:rsidR="00E7293F" w:rsidRPr="00A00A30" w:rsidRDefault="00E7293F" w:rsidP="00E7293F">
      <w:pPr>
        <w:pStyle w:val="Default"/>
        <w:spacing w:line="360" w:lineRule="auto"/>
        <w:jc w:val="both"/>
        <w:rPr>
          <w:rFonts w:ascii="Times New Roman" w:hAnsi="Times New Roman" w:cs="Times New Roman"/>
          <w:b/>
        </w:rPr>
      </w:pPr>
      <w:r w:rsidRPr="00A00A30">
        <w:rPr>
          <w:rFonts w:ascii="Times New Roman" w:hAnsi="Times New Roman" w:cs="Times New Roman"/>
          <w:b/>
        </w:rPr>
        <w:t xml:space="preserve">A szakirányú továbbképzést kérvényező intézmény neve: </w:t>
      </w:r>
    </w:p>
    <w:p w14:paraId="64C11217" w14:textId="77777777" w:rsidR="00E7293F" w:rsidRPr="00A00A30" w:rsidRDefault="00E7293F" w:rsidP="00E7293F">
      <w:pPr>
        <w:pStyle w:val="Default"/>
        <w:spacing w:line="360" w:lineRule="auto"/>
        <w:jc w:val="both"/>
        <w:rPr>
          <w:rFonts w:ascii="Times New Roman" w:hAnsi="Times New Roman" w:cs="Times New Roman"/>
        </w:rPr>
      </w:pPr>
      <w:r w:rsidRPr="00A00A30">
        <w:rPr>
          <w:rFonts w:ascii="Times New Roman" w:hAnsi="Times New Roman" w:cs="Times New Roman"/>
        </w:rPr>
        <w:t>Károli Gáspár Református Egyetem</w:t>
      </w:r>
      <w:r w:rsidR="00501F2D">
        <w:rPr>
          <w:rFonts w:ascii="Times New Roman" w:hAnsi="Times New Roman" w:cs="Times New Roman"/>
        </w:rPr>
        <w:t>, Bölcsészet-és Társadalomtudományi Kar</w:t>
      </w:r>
    </w:p>
    <w:p w14:paraId="5DDFD718" w14:textId="77777777" w:rsidR="00E7293F" w:rsidRPr="00A00A30" w:rsidRDefault="00E7293F" w:rsidP="00E7293F">
      <w:pPr>
        <w:pStyle w:val="Default"/>
        <w:spacing w:line="360" w:lineRule="auto"/>
        <w:jc w:val="both"/>
        <w:rPr>
          <w:rFonts w:ascii="Times New Roman" w:hAnsi="Times New Roman" w:cs="Times New Roman"/>
        </w:rPr>
      </w:pPr>
    </w:p>
    <w:p w14:paraId="6F4B8C48" w14:textId="77777777" w:rsidR="00E7293F" w:rsidRPr="00A00A30" w:rsidRDefault="00E7293F" w:rsidP="00192988">
      <w:pPr>
        <w:jc w:val="both"/>
        <w:rPr>
          <w:b/>
        </w:rPr>
      </w:pPr>
      <w:r w:rsidRPr="00A00A30">
        <w:rPr>
          <w:b/>
        </w:rPr>
        <w:t>A szakirányú továbbképzési szak képzési és kimeneti követelménye:</w:t>
      </w:r>
    </w:p>
    <w:p w14:paraId="40519AD2" w14:textId="77777777" w:rsidR="00E7293F" w:rsidRPr="00A00A30" w:rsidRDefault="00E7293F" w:rsidP="00E7293F"/>
    <w:p w14:paraId="15AD3D16" w14:textId="77777777" w:rsidR="00E7293F" w:rsidRPr="00A00A30" w:rsidRDefault="00E7293F" w:rsidP="00E7293F">
      <w:pPr>
        <w:jc w:val="both"/>
        <w:rPr>
          <w:b/>
        </w:rPr>
      </w:pPr>
    </w:p>
    <w:p w14:paraId="320D43D1" w14:textId="77777777" w:rsidR="00E7293F" w:rsidRPr="00A00A30" w:rsidRDefault="00E7293F" w:rsidP="00E7293F">
      <w:pPr>
        <w:numPr>
          <w:ilvl w:val="0"/>
          <w:numId w:val="5"/>
        </w:numPr>
        <w:tabs>
          <w:tab w:val="clear" w:pos="1065"/>
          <w:tab w:val="num" w:pos="360"/>
        </w:tabs>
        <w:ind w:left="360" w:hanging="360"/>
        <w:jc w:val="both"/>
        <w:rPr>
          <w:b/>
        </w:rPr>
      </w:pPr>
      <w:r w:rsidRPr="00A00A30">
        <w:rPr>
          <w:b/>
        </w:rPr>
        <w:t xml:space="preserve">A szakirányú továbbképzési szak megnevezése: </w:t>
      </w:r>
      <w:r w:rsidRPr="00A00A30">
        <w:rPr>
          <w:color w:val="000080"/>
        </w:rPr>
        <w:t xml:space="preserve">színház- és filmművészeti szakíró, kritikus </w:t>
      </w:r>
      <w:r w:rsidRPr="00A00A30">
        <w:t>szakirányú továbbképzési szak</w:t>
      </w:r>
    </w:p>
    <w:p w14:paraId="41EF8610" w14:textId="77777777" w:rsidR="00E7293F" w:rsidRPr="00A00A30" w:rsidRDefault="00E7293F" w:rsidP="00E7293F">
      <w:pPr>
        <w:jc w:val="both"/>
        <w:rPr>
          <w:b/>
        </w:rPr>
      </w:pPr>
    </w:p>
    <w:p w14:paraId="1CF6E530" w14:textId="77777777" w:rsidR="00E7293F" w:rsidRPr="00A00A30" w:rsidRDefault="00E7293F" w:rsidP="00E7293F">
      <w:pPr>
        <w:numPr>
          <w:ilvl w:val="0"/>
          <w:numId w:val="4"/>
        </w:numPr>
        <w:tabs>
          <w:tab w:val="clear" w:pos="1065"/>
          <w:tab w:val="num" w:pos="360"/>
        </w:tabs>
        <w:ind w:left="360" w:hanging="360"/>
        <w:jc w:val="both"/>
        <w:rPr>
          <w:b/>
        </w:rPr>
      </w:pPr>
      <w:r w:rsidRPr="00A00A30">
        <w:rPr>
          <w:b/>
        </w:rPr>
        <w:t xml:space="preserve">A szakképzettség oklevélben szereplő megnevezése: </w:t>
      </w:r>
      <w:r w:rsidRPr="00A00A30">
        <w:rPr>
          <w:color w:val="000080"/>
        </w:rPr>
        <w:t>színház- és filmművészeti szakíró, kritikus</w:t>
      </w:r>
    </w:p>
    <w:p w14:paraId="46C31FF4" w14:textId="77777777" w:rsidR="00E7293F" w:rsidRPr="00A00A30" w:rsidRDefault="00E7293F" w:rsidP="00E7293F">
      <w:pPr>
        <w:ind w:firstLine="708"/>
      </w:pPr>
    </w:p>
    <w:p w14:paraId="46ADB25A" w14:textId="77777777" w:rsidR="00E7293F" w:rsidRPr="00A00A30" w:rsidRDefault="00E7293F" w:rsidP="00E7293F">
      <w:pPr>
        <w:numPr>
          <w:ilvl w:val="0"/>
          <w:numId w:val="3"/>
        </w:numPr>
        <w:tabs>
          <w:tab w:val="clear" w:pos="1065"/>
          <w:tab w:val="num" w:pos="360"/>
        </w:tabs>
        <w:ind w:left="360" w:hanging="360"/>
        <w:jc w:val="both"/>
        <w:rPr>
          <w:b/>
        </w:rPr>
      </w:pPr>
      <w:r w:rsidRPr="00A00A30">
        <w:rPr>
          <w:b/>
        </w:rPr>
        <w:t xml:space="preserve">A szakirányú továbbképzés képzési területe: </w:t>
      </w:r>
      <w:r w:rsidRPr="00A00A30">
        <w:t>művészetközvetítés képzési terület</w:t>
      </w:r>
    </w:p>
    <w:p w14:paraId="109FF0F4" w14:textId="77777777" w:rsidR="00E7293F" w:rsidRPr="00A00A30" w:rsidRDefault="00E7293F" w:rsidP="00E7293F">
      <w:pPr>
        <w:spacing w:line="276" w:lineRule="auto"/>
      </w:pPr>
    </w:p>
    <w:p w14:paraId="62EB7457" w14:textId="77777777" w:rsidR="00E7293F" w:rsidRPr="00A00A30" w:rsidRDefault="00E7293F" w:rsidP="00E7293F">
      <w:pPr>
        <w:numPr>
          <w:ilvl w:val="0"/>
          <w:numId w:val="2"/>
        </w:numPr>
        <w:tabs>
          <w:tab w:val="clear" w:pos="1065"/>
          <w:tab w:val="num" w:pos="360"/>
        </w:tabs>
        <w:spacing w:after="120"/>
        <w:ind w:left="357" w:hanging="357"/>
        <w:jc w:val="both"/>
        <w:rPr>
          <w:b/>
        </w:rPr>
      </w:pPr>
      <w:r w:rsidRPr="00A00A30">
        <w:rPr>
          <w:b/>
        </w:rPr>
        <w:t>A felvétel feltétele:</w:t>
      </w:r>
    </w:p>
    <w:p w14:paraId="7DDB142E" w14:textId="589F5995" w:rsidR="00E7293F" w:rsidRDefault="00501F2D" w:rsidP="00501F2D">
      <w:pPr>
        <w:ind w:firstLine="357"/>
        <w:rPr>
          <w:color w:val="000000"/>
          <w:sz w:val="22"/>
          <w:szCs w:val="18"/>
          <w:shd w:val="clear" w:color="auto" w:fill="FFFFFF"/>
        </w:rPr>
      </w:pPr>
      <w:r w:rsidRPr="004B6BB6">
        <w:rPr>
          <w:color w:val="000000"/>
          <w:sz w:val="22"/>
          <w:szCs w:val="18"/>
          <w:shd w:val="clear" w:color="auto" w:fill="FFFFFF"/>
        </w:rPr>
        <w:t xml:space="preserve">Társadalomtudomány, bölcsészettudomány, művészetközvetítés, művészet, pedagógusképzés vagy gazdaságtudományok képzési területen legalább alapképzésben (korábban főiskolai szintű képzésben) szerzett oklevél. A jelentkezés után felvételi eljárásra kerül sor az alábbi feltételek szerint: </w:t>
      </w:r>
      <w:r w:rsidR="003E5A82">
        <w:rPr>
          <w:color w:val="000000"/>
          <w:sz w:val="22"/>
          <w:szCs w:val="18"/>
          <w:shd w:val="clear" w:color="auto" w:fill="FFFFFF"/>
        </w:rPr>
        <w:t xml:space="preserve">a felvételi bizottság a benyújtott portfóliók (önéletrajz, írásminta, motivációs levél) alapján dönt a jelentkező alkalmasságáról, szükség esetén telefonos megkeresésre kerülhet sor. A </w:t>
      </w:r>
      <w:proofErr w:type="spellStart"/>
      <w:r w:rsidR="003E5A82">
        <w:rPr>
          <w:color w:val="000000"/>
          <w:sz w:val="22"/>
          <w:szCs w:val="18"/>
          <w:shd w:val="clear" w:color="auto" w:fill="FFFFFF"/>
        </w:rPr>
        <w:t>pandémiás</w:t>
      </w:r>
      <w:proofErr w:type="spellEnd"/>
      <w:r w:rsidR="003E5A82">
        <w:rPr>
          <w:color w:val="000000"/>
          <w:sz w:val="22"/>
          <w:szCs w:val="18"/>
          <w:shd w:val="clear" w:color="auto" w:fill="FFFFFF"/>
        </w:rPr>
        <w:t xml:space="preserve"> helyzet miatt személyes felvételi beszélgetés nem lesz. </w:t>
      </w:r>
    </w:p>
    <w:p w14:paraId="58A21C19" w14:textId="77777777" w:rsidR="00501F2D" w:rsidRPr="00501F2D" w:rsidRDefault="00501F2D" w:rsidP="00501F2D">
      <w:pPr>
        <w:ind w:firstLine="357"/>
        <w:rPr>
          <w:sz w:val="32"/>
        </w:rPr>
      </w:pPr>
    </w:p>
    <w:p w14:paraId="5E1CE0CB" w14:textId="77777777" w:rsidR="00E7293F" w:rsidRPr="00A00A30" w:rsidRDefault="00E7293F" w:rsidP="00E7293F">
      <w:pPr>
        <w:numPr>
          <w:ilvl w:val="0"/>
          <w:numId w:val="2"/>
        </w:numPr>
        <w:tabs>
          <w:tab w:val="clear" w:pos="1065"/>
          <w:tab w:val="num" w:pos="360"/>
        </w:tabs>
        <w:ind w:left="360" w:hanging="360"/>
        <w:jc w:val="both"/>
        <w:rPr>
          <w:b/>
        </w:rPr>
      </w:pPr>
      <w:r w:rsidRPr="00A00A30">
        <w:rPr>
          <w:b/>
        </w:rPr>
        <w:t xml:space="preserve">A képzési idő: </w:t>
      </w:r>
      <w:r w:rsidRPr="00A00A30">
        <w:t>4 félév</w:t>
      </w:r>
    </w:p>
    <w:p w14:paraId="14E8B34D" w14:textId="77777777" w:rsidR="00E7293F" w:rsidRPr="00A00A30" w:rsidRDefault="00E7293F" w:rsidP="00E7293F">
      <w:pPr>
        <w:jc w:val="both"/>
        <w:rPr>
          <w:b/>
        </w:rPr>
      </w:pPr>
    </w:p>
    <w:p w14:paraId="3E33457F" w14:textId="77777777" w:rsidR="00E7293F" w:rsidRPr="00A00A30" w:rsidRDefault="00E7293F" w:rsidP="00E7293F">
      <w:pPr>
        <w:numPr>
          <w:ilvl w:val="0"/>
          <w:numId w:val="2"/>
        </w:numPr>
        <w:tabs>
          <w:tab w:val="clear" w:pos="1065"/>
          <w:tab w:val="num" w:pos="360"/>
        </w:tabs>
        <w:ind w:left="360" w:hanging="360"/>
        <w:jc w:val="both"/>
        <w:rPr>
          <w:b/>
        </w:rPr>
      </w:pPr>
      <w:r w:rsidRPr="00A00A30">
        <w:rPr>
          <w:b/>
        </w:rPr>
        <w:t xml:space="preserve">A szakképzettség megszerzéséhez összegyűjtendő kreditek száma: </w:t>
      </w:r>
      <w:r w:rsidRPr="00A00A30">
        <w:t>120 kredit</w:t>
      </w:r>
    </w:p>
    <w:p w14:paraId="4FFDFFA3" w14:textId="77777777" w:rsidR="00E7293F" w:rsidRPr="00A00A30" w:rsidRDefault="00E7293F" w:rsidP="00E7293F">
      <w:pPr>
        <w:jc w:val="both"/>
        <w:rPr>
          <w:b/>
        </w:rPr>
      </w:pPr>
    </w:p>
    <w:p w14:paraId="5E44FCA2" w14:textId="77777777" w:rsidR="00E7293F" w:rsidRPr="00A00A30" w:rsidRDefault="00E7293F" w:rsidP="00E7293F">
      <w:pPr>
        <w:numPr>
          <w:ilvl w:val="0"/>
          <w:numId w:val="2"/>
        </w:numPr>
        <w:tabs>
          <w:tab w:val="clear" w:pos="1065"/>
          <w:tab w:val="num" w:pos="360"/>
        </w:tabs>
        <w:ind w:left="360" w:hanging="360"/>
        <w:jc w:val="both"/>
        <w:rPr>
          <w:b/>
        </w:rPr>
      </w:pPr>
      <w:r w:rsidRPr="00A00A30">
        <w:rPr>
          <w:b/>
        </w:rPr>
        <w:t>A képzés során elsajátítandó kompetenciák, tudáselemek, megszerezhető ismeretek, személyes adottságok, készségek, a szakképzettség alkalmazása konkrét környezetben, tevékenységrendszerben:</w:t>
      </w:r>
    </w:p>
    <w:p w14:paraId="179CCCB0" w14:textId="77777777" w:rsidR="00E7293F" w:rsidRPr="00A00A30" w:rsidRDefault="00E7293F" w:rsidP="00E7293F">
      <w:pPr>
        <w:pStyle w:val="Listaszerbekezds"/>
        <w:ind w:left="371"/>
        <w:rPr>
          <w:rFonts w:ascii="Times New Roman" w:hAnsi="Times New Roman"/>
          <w:b/>
          <w:sz w:val="24"/>
          <w:szCs w:val="24"/>
        </w:rPr>
      </w:pPr>
    </w:p>
    <w:p w14:paraId="75653CBF" w14:textId="77777777" w:rsidR="00E7293F" w:rsidRPr="00A00A30" w:rsidRDefault="00E7293F" w:rsidP="00E7293F">
      <w:pPr>
        <w:keepNext/>
        <w:keepLines/>
        <w:spacing w:before="60"/>
        <w:ind w:left="357"/>
        <w:jc w:val="both"/>
        <w:rPr>
          <w:b/>
          <w:iCs/>
        </w:rPr>
      </w:pPr>
      <w:r w:rsidRPr="00A00A30">
        <w:rPr>
          <w:b/>
          <w:iCs/>
        </w:rPr>
        <w:t>Elsajátítandó kompetenciák:</w:t>
      </w:r>
    </w:p>
    <w:p w14:paraId="47D87029" w14:textId="77777777" w:rsidR="00E7293F" w:rsidRPr="00A00A30" w:rsidRDefault="00E7293F" w:rsidP="00E7293F">
      <w:pPr>
        <w:keepNext/>
        <w:keepLines/>
        <w:spacing w:before="60"/>
        <w:ind w:left="357"/>
        <w:jc w:val="both"/>
        <w:rPr>
          <w:b/>
          <w:iCs/>
        </w:rPr>
      </w:pPr>
      <w:r w:rsidRPr="00A00A30">
        <w:t>A szakot elvégző hallgatók ismerik az ágazat vagy tevékenység működési mechanizmusait, folyamatait, értékelési kritériumait, szakmai részterületeit, ágazati kapcsolódási pontjait. Képesek az adott területen kiemelkedően színvonalas szakmai munka végzésére, illetve az ezeket biztosító rendszerek kialakítására. Rendelkeznek megfelelő emberi és szociális készségekkel, amelyek lehetővé teszik másokkal való szakmai együttműködésre.</w:t>
      </w:r>
    </w:p>
    <w:p w14:paraId="5553A9A3" w14:textId="77777777" w:rsidR="00E7293F" w:rsidRPr="00A00A30" w:rsidRDefault="00E7293F" w:rsidP="00E7293F">
      <w:pPr>
        <w:keepNext/>
        <w:keepLines/>
        <w:spacing w:before="60"/>
        <w:ind w:left="357"/>
        <w:jc w:val="both"/>
        <w:rPr>
          <w:b/>
          <w:iCs/>
        </w:rPr>
      </w:pPr>
      <w:r w:rsidRPr="00A00A30">
        <w:t>A szakon végzettek képesek:</w:t>
      </w:r>
    </w:p>
    <w:p w14:paraId="059FBCC4" w14:textId="77777777" w:rsidR="00E7293F" w:rsidRPr="00A00A30" w:rsidRDefault="00E7293F" w:rsidP="00E7293F">
      <w:pPr>
        <w:pStyle w:val="Listaszerbekezds"/>
        <w:numPr>
          <w:ilvl w:val="0"/>
          <w:numId w:val="6"/>
        </w:numPr>
        <w:spacing w:after="0" w:line="240" w:lineRule="auto"/>
        <w:jc w:val="both"/>
        <w:rPr>
          <w:rFonts w:ascii="Times New Roman" w:hAnsi="Times New Roman"/>
          <w:sz w:val="24"/>
          <w:szCs w:val="24"/>
        </w:rPr>
      </w:pPr>
      <w:r w:rsidRPr="00A00A30">
        <w:rPr>
          <w:rFonts w:ascii="Times New Roman" w:hAnsi="Times New Roman"/>
          <w:sz w:val="24"/>
          <w:szCs w:val="24"/>
        </w:rPr>
        <w:t>argumentumok azonosítására, átgondolására, valamint ezeknek írásban és élőszóban vázlatos vagy részletes bemutatására;</w:t>
      </w:r>
    </w:p>
    <w:p w14:paraId="5C1969EB" w14:textId="77777777" w:rsidR="00E7293F" w:rsidRPr="00A00A30" w:rsidRDefault="00E7293F" w:rsidP="00E7293F">
      <w:pPr>
        <w:pStyle w:val="Listaszerbekezds"/>
        <w:numPr>
          <w:ilvl w:val="0"/>
          <w:numId w:val="6"/>
        </w:numPr>
        <w:spacing w:after="0" w:line="240" w:lineRule="auto"/>
        <w:jc w:val="both"/>
        <w:rPr>
          <w:rFonts w:ascii="Times New Roman" w:hAnsi="Times New Roman"/>
          <w:sz w:val="24"/>
          <w:szCs w:val="24"/>
        </w:rPr>
      </w:pPr>
      <w:r w:rsidRPr="00A00A30">
        <w:rPr>
          <w:rFonts w:ascii="Times New Roman" w:hAnsi="Times New Roman"/>
          <w:sz w:val="24"/>
          <w:szCs w:val="24"/>
        </w:rPr>
        <w:lastRenderedPageBreak/>
        <w:t>több műfajban írásos és szóbeli prezentációra;</w:t>
      </w:r>
    </w:p>
    <w:p w14:paraId="5601377C" w14:textId="77777777" w:rsidR="00E7293F" w:rsidRPr="00A00A30" w:rsidRDefault="00E7293F" w:rsidP="00E7293F">
      <w:pPr>
        <w:pStyle w:val="Listaszerbekezds"/>
        <w:numPr>
          <w:ilvl w:val="0"/>
          <w:numId w:val="6"/>
        </w:numPr>
        <w:spacing w:after="0" w:line="240" w:lineRule="auto"/>
        <w:jc w:val="both"/>
        <w:rPr>
          <w:rFonts w:ascii="Times New Roman" w:hAnsi="Times New Roman"/>
          <w:sz w:val="24"/>
          <w:szCs w:val="24"/>
        </w:rPr>
      </w:pPr>
      <w:r w:rsidRPr="00A00A30">
        <w:rPr>
          <w:rFonts w:ascii="Times New Roman" w:hAnsi="Times New Roman"/>
          <w:sz w:val="24"/>
          <w:szCs w:val="24"/>
        </w:rPr>
        <w:t>a nyilvános megszólalás, illetve megjelenítés alapvető szabályainak ismeretében hatékony kommunikációra;</w:t>
      </w:r>
    </w:p>
    <w:p w14:paraId="07BA6518" w14:textId="77777777" w:rsidR="00E7293F" w:rsidRPr="00A00A30" w:rsidRDefault="0037796C" w:rsidP="00E7293F">
      <w:pPr>
        <w:pStyle w:val="Listaszerbekezds"/>
        <w:numPr>
          <w:ilvl w:val="0"/>
          <w:numId w:val="6"/>
        </w:numPr>
        <w:spacing w:after="0" w:line="240" w:lineRule="auto"/>
        <w:jc w:val="both"/>
        <w:rPr>
          <w:rFonts w:ascii="Times New Roman" w:hAnsi="Times New Roman"/>
          <w:sz w:val="24"/>
          <w:szCs w:val="24"/>
        </w:rPr>
      </w:pPr>
      <w:r>
        <w:rPr>
          <w:rFonts w:ascii="Times New Roman" w:hAnsi="Times New Roman"/>
          <w:sz w:val="24"/>
          <w:szCs w:val="24"/>
        </w:rPr>
        <w:t>a műalkotás-elemzés</w:t>
      </w:r>
      <w:r w:rsidR="00E7293F" w:rsidRPr="00A00A30">
        <w:rPr>
          <w:rFonts w:ascii="Times New Roman" w:hAnsi="Times New Roman"/>
          <w:sz w:val="24"/>
          <w:szCs w:val="24"/>
        </w:rPr>
        <w:t xml:space="preserve"> és </w:t>
      </w:r>
      <w:r>
        <w:rPr>
          <w:rFonts w:ascii="Times New Roman" w:hAnsi="Times New Roman"/>
          <w:sz w:val="24"/>
          <w:szCs w:val="24"/>
        </w:rPr>
        <w:t>-</w:t>
      </w:r>
      <w:r w:rsidR="00E7293F" w:rsidRPr="00A00A30">
        <w:rPr>
          <w:rFonts w:ascii="Times New Roman" w:hAnsi="Times New Roman"/>
          <w:sz w:val="24"/>
          <w:szCs w:val="24"/>
        </w:rPr>
        <w:t>értelmezés, valamint a kritikai elsajátítás technikáinak alkalmazására.</w:t>
      </w:r>
    </w:p>
    <w:p w14:paraId="14C5036B" w14:textId="77777777" w:rsidR="00E7293F" w:rsidRPr="00A00A30" w:rsidRDefault="00E7293F" w:rsidP="00E7293F">
      <w:pPr>
        <w:ind w:left="360"/>
        <w:jc w:val="both"/>
        <w:rPr>
          <w:b/>
        </w:rPr>
      </w:pPr>
    </w:p>
    <w:p w14:paraId="6520CE1A" w14:textId="77777777" w:rsidR="00E7293F" w:rsidRPr="00A00A30" w:rsidRDefault="00E7293F" w:rsidP="00E7293F">
      <w:pPr>
        <w:ind w:left="360"/>
        <w:jc w:val="both"/>
      </w:pPr>
      <w:r w:rsidRPr="00A00A30">
        <w:rPr>
          <w:b/>
        </w:rPr>
        <w:t>Megszerezhető ismeretek, tudáselemek:</w:t>
      </w:r>
    </w:p>
    <w:p w14:paraId="368F980F" w14:textId="77777777" w:rsidR="00E7293F" w:rsidRPr="00A00A30" w:rsidRDefault="00E7293F" w:rsidP="00E7293F">
      <w:pPr>
        <w:pStyle w:val="Listaszerbekezds"/>
        <w:numPr>
          <w:ilvl w:val="0"/>
          <w:numId w:val="7"/>
        </w:numPr>
        <w:spacing w:after="0" w:line="240" w:lineRule="auto"/>
        <w:rPr>
          <w:rFonts w:ascii="Times New Roman" w:hAnsi="Times New Roman"/>
          <w:sz w:val="24"/>
          <w:szCs w:val="24"/>
        </w:rPr>
      </w:pPr>
      <w:r w:rsidRPr="00A00A30">
        <w:rPr>
          <w:rFonts w:ascii="Times New Roman" w:hAnsi="Times New Roman"/>
          <w:sz w:val="24"/>
          <w:szCs w:val="24"/>
        </w:rPr>
        <w:t>a dráma-, a színház- és a filmtörténetre vonatkozó ismeretek;</w:t>
      </w:r>
    </w:p>
    <w:p w14:paraId="3DC93E68" w14:textId="77777777" w:rsidR="00E7293F" w:rsidRPr="00A00A30" w:rsidRDefault="00E7293F" w:rsidP="00E7293F">
      <w:pPr>
        <w:pStyle w:val="Listaszerbekezds"/>
        <w:numPr>
          <w:ilvl w:val="0"/>
          <w:numId w:val="7"/>
        </w:numPr>
        <w:spacing w:after="0" w:line="240" w:lineRule="auto"/>
        <w:rPr>
          <w:rFonts w:ascii="Times New Roman" w:hAnsi="Times New Roman"/>
          <w:sz w:val="24"/>
          <w:szCs w:val="24"/>
        </w:rPr>
      </w:pPr>
      <w:r w:rsidRPr="00A00A30">
        <w:rPr>
          <w:rFonts w:ascii="Times New Roman" w:hAnsi="Times New Roman"/>
          <w:sz w:val="24"/>
          <w:szCs w:val="24"/>
        </w:rPr>
        <w:t>speciális elemzési eljárások ismerete;</w:t>
      </w:r>
    </w:p>
    <w:p w14:paraId="6C6BF624" w14:textId="77777777" w:rsidR="00E7293F" w:rsidRPr="00A00A30" w:rsidRDefault="00E7293F" w:rsidP="00E7293F">
      <w:pPr>
        <w:pStyle w:val="Listaszerbekezds"/>
        <w:numPr>
          <w:ilvl w:val="0"/>
          <w:numId w:val="7"/>
        </w:numPr>
        <w:spacing w:after="0" w:line="240" w:lineRule="auto"/>
        <w:rPr>
          <w:rFonts w:ascii="Times New Roman" w:hAnsi="Times New Roman"/>
          <w:sz w:val="24"/>
          <w:szCs w:val="24"/>
        </w:rPr>
      </w:pPr>
      <w:r w:rsidRPr="00A00A30">
        <w:rPr>
          <w:rFonts w:ascii="Times New Roman" w:hAnsi="Times New Roman"/>
          <w:sz w:val="24"/>
          <w:szCs w:val="24"/>
        </w:rPr>
        <w:t>az alkotói folyamatokra vonatkozó ismeretek;</w:t>
      </w:r>
    </w:p>
    <w:p w14:paraId="04CEC588" w14:textId="77777777" w:rsidR="00E7293F" w:rsidRPr="00A00A30" w:rsidRDefault="00E7293F" w:rsidP="00E7293F">
      <w:pPr>
        <w:pStyle w:val="Listaszerbekezds"/>
        <w:numPr>
          <w:ilvl w:val="0"/>
          <w:numId w:val="7"/>
        </w:numPr>
        <w:spacing w:after="0" w:line="240" w:lineRule="auto"/>
        <w:rPr>
          <w:rFonts w:ascii="Times New Roman" w:hAnsi="Times New Roman"/>
          <w:sz w:val="24"/>
          <w:szCs w:val="24"/>
        </w:rPr>
      </w:pPr>
      <w:r w:rsidRPr="00A00A30">
        <w:rPr>
          <w:rFonts w:ascii="Times New Roman" w:hAnsi="Times New Roman"/>
          <w:sz w:val="24"/>
          <w:szCs w:val="24"/>
        </w:rPr>
        <w:t>a szakírás metodológiai és retorikai ismeretei;</w:t>
      </w:r>
    </w:p>
    <w:p w14:paraId="0B7CAF07" w14:textId="77777777" w:rsidR="00E7293F" w:rsidRPr="00A00A30" w:rsidRDefault="00E7293F" w:rsidP="00E7293F">
      <w:pPr>
        <w:pStyle w:val="Listaszerbekezds"/>
        <w:numPr>
          <w:ilvl w:val="0"/>
          <w:numId w:val="7"/>
        </w:numPr>
        <w:spacing w:after="0" w:line="240" w:lineRule="auto"/>
        <w:rPr>
          <w:rFonts w:ascii="Times New Roman" w:hAnsi="Times New Roman"/>
          <w:sz w:val="24"/>
          <w:szCs w:val="24"/>
        </w:rPr>
      </w:pPr>
      <w:r w:rsidRPr="00A00A30">
        <w:rPr>
          <w:rFonts w:ascii="Times New Roman" w:hAnsi="Times New Roman"/>
          <w:sz w:val="24"/>
          <w:szCs w:val="24"/>
        </w:rPr>
        <w:t>gyakorlati ismeretek.</w:t>
      </w:r>
    </w:p>
    <w:p w14:paraId="495350FF" w14:textId="77777777" w:rsidR="00E7293F" w:rsidRPr="00A00A30" w:rsidRDefault="00E7293F" w:rsidP="00E7293F">
      <w:pPr>
        <w:ind w:left="720"/>
      </w:pPr>
    </w:p>
    <w:p w14:paraId="1C571BFC" w14:textId="77777777" w:rsidR="00E7293F" w:rsidRPr="00A00A30" w:rsidRDefault="00E7293F" w:rsidP="00E7293F">
      <w:pPr>
        <w:ind w:left="360"/>
      </w:pPr>
      <w:r w:rsidRPr="00A00A30">
        <w:rPr>
          <w:b/>
        </w:rPr>
        <w:t>Személyes adottságok és készségek:</w:t>
      </w:r>
    </w:p>
    <w:p w14:paraId="54D941C0" w14:textId="77777777" w:rsidR="00E7293F" w:rsidRPr="00A00A30" w:rsidRDefault="00E7293F" w:rsidP="00E7293F">
      <w:pPr>
        <w:pStyle w:val="Listaszerbekezds"/>
        <w:numPr>
          <w:ilvl w:val="0"/>
          <w:numId w:val="8"/>
        </w:numPr>
        <w:spacing w:after="0" w:line="240" w:lineRule="auto"/>
        <w:rPr>
          <w:rFonts w:ascii="Times New Roman" w:hAnsi="Times New Roman"/>
          <w:sz w:val="24"/>
          <w:szCs w:val="24"/>
        </w:rPr>
      </w:pPr>
      <w:r w:rsidRPr="00A00A30">
        <w:rPr>
          <w:rFonts w:ascii="Times New Roman" w:hAnsi="Times New Roman"/>
          <w:sz w:val="24"/>
          <w:szCs w:val="24"/>
        </w:rPr>
        <w:t>szakmai készségfejlesztés;</w:t>
      </w:r>
    </w:p>
    <w:p w14:paraId="2DBC4D39" w14:textId="77777777" w:rsidR="00E7293F" w:rsidRPr="00A00A30" w:rsidRDefault="00E7293F" w:rsidP="00E7293F">
      <w:pPr>
        <w:pStyle w:val="Listaszerbekezds"/>
        <w:numPr>
          <w:ilvl w:val="0"/>
          <w:numId w:val="8"/>
        </w:numPr>
        <w:spacing w:after="0" w:line="240" w:lineRule="auto"/>
        <w:rPr>
          <w:rFonts w:ascii="Times New Roman" w:hAnsi="Times New Roman"/>
          <w:sz w:val="24"/>
          <w:szCs w:val="24"/>
        </w:rPr>
      </w:pPr>
      <w:r w:rsidRPr="00A00A30">
        <w:rPr>
          <w:rFonts w:ascii="Times New Roman" w:hAnsi="Times New Roman"/>
          <w:sz w:val="24"/>
          <w:szCs w:val="24"/>
        </w:rPr>
        <w:t>kommunikáció, nyitottság a különféle típusú formák iránt;</w:t>
      </w:r>
    </w:p>
    <w:p w14:paraId="2BEB61D2" w14:textId="77777777" w:rsidR="00E7293F" w:rsidRPr="00A00A30" w:rsidRDefault="0037796C" w:rsidP="00E7293F">
      <w:pPr>
        <w:pStyle w:val="Listaszerbekezds"/>
        <w:numPr>
          <w:ilvl w:val="0"/>
          <w:numId w:val="8"/>
        </w:numPr>
        <w:spacing w:after="0" w:line="240" w:lineRule="auto"/>
        <w:rPr>
          <w:rFonts w:ascii="Times New Roman" w:hAnsi="Times New Roman"/>
          <w:sz w:val="24"/>
          <w:szCs w:val="24"/>
        </w:rPr>
      </w:pPr>
      <w:r>
        <w:rPr>
          <w:rFonts w:ascii="Times New Roman" w:hAnsi="Times New Roman"/>
          <w:sz w:val="24"/>
          <w:szCs w:val="24"/>
        </w:rPr>
        <w:t>t</w:t>
      </w:r>
      <w:r w:rsidR="00E7293F" w:rsidRPr="00A00A30">
        <w:rPr>
          <w:rFonts w:ascii="Times New Roman" w:hAnsi="Times New Roman"/>
          <w:sz w:val="24"/>
          <w:szCs w:val="24"/>
        </w:rPr>
        <w:t>eam-munka, együttműködés, kooperációs készségek fejlesztése;</w:t>
      </w:r>
    </w:p>
    <w:p w14:paraId="00146E2A" w14:textId="77777777" w:rsidR="00E7293F" w:rsidRPr="00A00A30" w:rsidRDefault="00E7293F" w:rsidP="00E7293F">
      <w:pPr>
        <w:pStyle w:val="Listaszerbekezds"/>
        <w:numPr>
          <w:ilvl w:val="0"/>
          <w:numId w:val="8"/>
        </w:numPr>
        <w:spacing w:after="0" w:line="240" w:lineRule="auto"/>
        <w:rPr>
          <w:rFonts w:ascii="Times New Roman" w:hAnsi="Times New Roman"/>
          <w:sz w:val="24"/>
          <w:szCs w:val="24"/>
        </w:rPr>
      </w:pPr>
      <w:r w:rsidRPr="00A00A30">
        <w:rPr>
          <w:rFonts w:ascii="Times New Roman" w:hAnsi="Times New Roman"/>
          <w:sz w:val="24"/>
          <w:szCs w:val="24"/>
        </w:rPr>
        <w:t xml:space="preserve">önművelődés, </w:t>
      </w:r>
      <w:proofErr w:type="spellStart"/>
      <w:r w:rsidRPr="0037796C">
        <w:rPr>
          <w:rFonts w:ascii="Times New Roman" w:hAnsi="Times New Roman"/>
          <w:i/>
          <w:sz w:val="24"/>
          <w:szCs w:val="24"/>
        </w:rPr>
        <w:t>lifelong</w:t>
      </w:r>
      <w:proofErr w:type="spellEnd"/>
      <w:r w:rsidRPr="0037796C">
        <w:rPr>
          <w:rFonts w:ascii="Times New Roman" w:hAnsi="Times New Roman"/>
          <w:i/>
          <w:sz w:val="24"/>
          <w:szCs w:val="24"/>
        </w:rPr>
        <w:t xml:space="preserve"> </w:t>
      </w:r>
      <w:proofErr w:type="spellStart"/>
      <w:r w:rsidRPr="0037796C">
        <w:rPr>
          <w:rFonts w:ascii="Times New Roman" w:hAnsi="Times New Roman"/>
          <w:i/>
          <w:sz w:val="24"/>
          <w:szCs w:val="24"/>
        </w:rPr>
        <w:t>learning</w:t>
      </w:r>
      <w:proofErr w:type="spellEnd"/>
      <w:r w:rsidRPr="00A00A30">
        <w:rPr>
          <w:rFonts w:ascii="Times New Roman" w:hAnsi="Times New Roman"/>
          <w:sz w:val="24"/>
          <w:szCs w:val="24"/>
        </w:rPr>
        <w:t xml:space="preserve"> készségének fejlesztése.</w:t>
      </w:r>
    </w:p>
    <w:p w14:paraId="2AD2EF91" w14:textId="77777777" w:rsidR="00E7293F" w:rsidRPr="00A00A30" w:rsidRDefault="00E7293F" w:rsidP="00E7293F">
      <w:pPr>
        <w:pStyle w:val="NormlWeb"/>
        <w:spacing w:before="0" w:beforeAutospacing="0" w:after="0" w:afterAutospacing="0"/>
        <w:ind w:left="360" w:right="136"/>
        <w:jc w:val="both"/>
        <w:rPr>
          <w:b/>
        </w:rPr>
      </w:pPr>
    </w:p>
    <w:p w14:paraId="793D4AE4" w14:textId="77777777" w:rsidR="00E7293F" w:rsidRPr="00A00A30" w:rsidRDefault="00E7293F" w:rsidP="00E7293F">
      <w:pPr>
        <w:pStyle w:val="NormlWeb"/>
        <w:spacing w:before="0" w:beforeAutospacing="0" w:after="0" w:afterAutospacing="0"/>
        <w:ind w:left="360" w:right="136"/>
        <w:jc w:val="both"/>
        <w:rPr>
          <w:b/>
        </w:rPr>
      </w:pPr>
      <w:r w:rsidRPr="00A00A30">
        <w:rPr>
          <w:b/>
        </w:rPr>
        <w:t>A szakképzettség alkalmazása konkrét környezetben, tevékenységrendszerben:</w:t>
      </w:r>
    </w:p>
    <w:p w14:paraId="3F6F03AA" w14:textId="77777777" w:rsidR="00E7293F" w:rsidRPr="00A00A30" w:rsidRDefault="00E7293F" w:rsidP="00E7293F">
      <w:pPr>
        <w:autoSpaceDE w:val="0"/>
        <w:autoSpaceDN w:val="0"/>
        <w:adjustRightInd w:val="0"/>
        <w:spacing w:before="120"/>
        <w:ind w:left="357"/>
        <w:jc w:val="both"/>
        <w:rPr>
          <w:iCs/>
        </w:rPr>
      </w:pPr>
      <w:r w:rsidRPr="00A00A30">
        <w:rPr>
          <w:iCs/>
        </w:rPr>
        <w:t xml:space="preserve">Az oklevél megszerzése után a hallgatók jó eséllyel indulnak a munkaerőpiacon, hiszen az egyetemeken </w:t>
      </w:r>
      <w:r w:rsidR="00AE1FF4" w:rsidRPr="00A00A30">
        <w:rPr>
          <w:iCs/>
        </w:rPr>
        <w:t xml:space="preserve">kevés </w:t>
      </w:r>
      <w:r w:rsidRPr="00A00A30">
        <w:rPr>
          <w:iCs/>
        </w:rPr>
        <w:t xml:space="preserve">a filmes </w:t>
      </w:r>
      <w:r w:rsidR="00AE1FF4" w:rsidRPr="00A00A30">
        <w:rPr>
          <w:iCs/>
        </w:rPr>
        <w:t xml:space="preserve">és </w:t>
      </w:r>
      <w:r w:rsidRPr="00A00A30">
        <w:rPr>
          <w:iCs/>
        </w:rPr>
        <w:t>színházi szakírásra szakosodott képzés, a színház- és filmművészeti szakírás pedig nem csupán speciális képzést nyújt, de oktatói szakembergárdája is a legeli</w:t>
      </w:r>
      <w:r w:rsidR="00880C18" w:rsidRPr="00A00A30">
        <w:rPr>
          <w:iCs/>
        </w:rPr>
        <w:t>smertebb szakírók közül kerül</w:t>
      </w:r>
      <w:r w:rsidRPr="00A00A30">
        <w:rPr>
          <w:iCs/>
        </w:rPr>
        <w:t xml:space="preserve"> ki.</w:t>
      </w:r>
    </w:p>
    <w:p w14:paraId="20EC6DE5" w14:textId="77777777" w:rsidR="00E7293F" w:rsidRPr="00A00A30" w:rsidRDefault="00E7293F" w:rsidP="00E7293F">
      <w:pPr>
        <w:autoSpaceDE w:val="0"/>
        <w:autoSpaceDN w:val="0"/>
        <w:adjustRightInd w:val="0"/>
        <w:spacing w:before="120" w:after="120"/>
        <w:ind w:left="357"/>
        <w:jc w:val="both"/>
        <w:rPr>
          <w:iCs/>
        </w:rPr>
      </w:pPr>
      <w:r w:rsidRPr="00A00A30">
        <w:rPr>
          <w:iCs/>
        </w:rPr>
        <w:t>Napilapok, folyóiratok, szakmai kiadványokban publikált kritikák, esszék,</w:t>
      </w:r>
      <w:r w:rsidR="0037796C">
        <w:rPr>
          <w:iCs/>
        </w:rPr>
        <w:t xml:space="preserve"> tanulmányok megjelenésén kívül</w:t>
      </w:r>
      <w:r w:rsidRPr="00A00A30">
        <w:rPr>
          <w:iCs/>
        </w:rPr>
        <w:t xml:space="preserve"> a szakírók részt vehetnek különféle konferenciákon vagy művészeti képzésekben, így meghatározó </w:t>
      </w:r>
      <w:r w:rsidR="0037796C">
        <w:rPr>
          <w:iCs/>
        </w:rPr>
        <w:t>személyiségei</w:t>
      </w:r>
      <w:r w:rsidRPr="00A00A30">
        <w:rPr>
          <w:iCs/>
        </w:rPr>
        <w:t xml:space="preserve"> vagy akár kezdeményezői is lehetnek az általuk képviselt művészeti közegnek.</w:t>
      </w:r>
    </w:p>
    <w:p w14:paraId="2940BB91" w14:textId="77777777" w:rsidR="00E7293F" w:rsidRPr="00A00A30" w:rsidRDefault="00E7293F" w:rsidP="00E7293F">
      <w:pPr>
        <w:autoSpaceDE w:val="0"/>
        <w:autoSpaceDN w:val="0"/>
        <w:adjustRightInd w:val="0"/>
        <w:spacing w:after="60"/>
        <w:ind w:left="357"/>
        <w:jc w:val="both"/>
        <w:rPr>
          <w:iCs/>
        </w:rPr>
      </w:pPr>
      <w:r w:rsidRPr="00A00A30">
        <w:rPr>
          <w:iCs/>
        </w:rPr>
        <w:t>A szakterület egészére kiterjedő rálátásuk folytán tevékenységük átfogó tendenciák kifejtésére éppen úgy irányulhat, mint napi kritikák megírásán keresztül a kulturális közeg igényszintjének és ízlésvilágának kialakítására és fenntartására.</w:t>
      </w:r>
    </w:p>
    <w:p w14:paraId="33686731" w14:textId="77777777" w:rsidR="00E7293F" w:rsidRPr="00A00A30" w:rsidRDefault="00E7293F" w:rsidP="00E7293F">
      <w:pPr>
        <w:pStyle w:val="NormlWeb"/>
        <w:spacing w:before="0" w:beforeAutospacing="0" w:after="0" w:afterAutospacing="0"/>
        <w:ind w:left="360" w:right="136"/>
        <w:jc w:val="both"/>
      </w:pPr>
    </w:p>
    <w:p w14:paraId="474BA183" w14:textId="77777777" w:rsidR="00E7293F" w:rsidRPr="00A00A30" w:rsidRDefault="00E7293F" w:rsidP="00E7293F">
      <w:pPr>
        <w:numPr>
          <w:ilvl w:val="0"/>
          <w:numId w:val="2"/>
        </w:numPr>
        <w:tabs>
          <w:tab w:val="clear" w:pos="1065"/>
          <w:tab w:val="num" w:pos="360"/>
        </w:tabs>
        <w:ind w:left="357" w:hanging="357"/>
        <w:jc w:val="both"/>
        <w:rPr>
          <w:b/>
        </w:rPr>
      </w:pPr>
      <w:r w:rsidRPr="00A00A30">
        <w:rPr>
          <w:b/>
          <w:bCs/>
        </w:rPr>
        <w:t>A szakképzettség szempon</w:t>
      </w:r>
      <w:r w:rsidR="0037796C">
        <w:rPr>
          <w:b/>
          <w:bCs/>
        </w:rPr>
        <w:t>tjából meghatározó ismeretkörök</w:t>
      </w:r>
      <w:r w:rsidRPr="00A00A30">
        <w:rPr>
          <w:b/>
          <w:bCs/>
        </w:rPr>
        <w:t xml:space="preserve"> és a főbb ismeretkörökhöz rendelt kreditértékek:</w:t>
      </w:r>
    </w:p>
    <w:p w14:paraId="3B7FE8D8" w14:textId="77777777" w:rsidR="00E7293F" w:rsidRPr="00A00A30" w:rsidRDefault="00E7293F" w:rsidP="00E7293F">
      <w:pPr>
        <w:spacing w:before="120"/>
        <w:ind w:left="357"/>
        <w:jc w:val="both"/>
        <w:rPr>
          <w:b/>
        </w:rPr>
      </w:pPr>
      <w:r w:rsidRPr="00A00A30">
        <w:rPr>
          <w:b/>
          <w:bCs/>
          <w:color w:val="000000"/>
        </w:rPr>
        <w:t>Alapismeretek: 26 kredit</w:t>
      </w:r>
    </w:p>
    <w:p w14:paraId="35148089" w14:textId="77777777" w:rsidR="00E7293F" w:rsidRPr="00A00A30" w:rsidRDefault="00E7293F" w:rsidP="00E7293F">
      <w:pPr>
        <w:spacing w:before="120"/>
        <w:ind w:left="357"/>
        <w:jc w:val="both"/>
        <w:rPr>
          <w:b/>
        </w:rPr>
      </w:pPr>
      <w:r w:rsidRPr="00A00A30">
        <w:rPr>
          <w:b/>
          <w:bCs/>
          <w:color w:val="000000"/>
        </w:rPr>
        <w:t>Elméleti szakismeretek: 30 kredit</w:t>
      </w:r>
    </w:p>
    <w:p w14:paraId="6E93C7FB" w14:textId="77777777" w:rsidR="00E7293F" w:rsidRPr="00A00A30" w:rsidRDefault="00E7293F" w:rsidP="00E7293F">
      <w:pPr>
        <w:spacing w:before="120"/>
        <w:ind w:left="357"/>
        <w:jc w:val="both"/>
        <w:rPr>
          <w:b/>
          <w:bCs/>
          <w:color w:val="000000"/>
        </w:rPr>
      </w:pPr>
      <w:r w:rsidRPr="00A00A30">
        <w:rPr>
          <w:b/>
          <w:bCs/>
          <w:color w:val="000000"/>
        </w:rPr>
        <w:t>Gyakorlati ismeretek: 44 kredit</w:t>
      </w:r>
    </w:p>
    <w:p w14:paraId="366BDB93" w14:textId="77777777" w:rsidR="00E7293F" w:rsidRPr="00A00A30" w:rsidRDefault="00E7293F" w:rsidP="00E7293F">
      <w:pPr>
        <w:spacing w:before="120"/>
        <w:ind w:left="357"/>
        <w:jc w:val="both"/>
        <w:rPr>
          <w:b/>
        </w:rPr>
      </w:pPr>
      <w:r w:rsidRPr="00A00A30">
        <w:rPr>
          <w:b/>
          <w:bCs/>
          <w:color w:val="000000"/>
        </w:rPr>
        <w:t xml:space="preserve">Szakmai gyakorlatok </w:t>
      </w:r>
      <w:r w:rsidRPr="00A00A30">
        <w:rPr>
          <w:bCs/>
          <w:color w:val="000000"/>
        </w:rPr>
        <w:t>(terepgyakorlat)</w:t>
      </w:r>
      <w:r w:rsidRPr="00A00A30">
        <w:rPr>
          <w:b/>
          <w:bCs/>
          <w:color w:val="000000"/>
        </w:rPr>
        <w:t>: 10 kredit</w:t>
      </w:r>
    </w:p>
    <w:p w14:paraId="62D365C0" w14:textId="77777777" w:rsidR="00E7293F" w:rsidRPr="00A00A30" w:rsidRDefault="00E7293F" w:rsidP="00E7293F">
      <w:pPr>
        <w:jc w:val="both"/>
      </w:pPr>
    </w:p>
    <w:p w14:paraId="62F35E4D" w14:textId="77777777" w:rsidR="00E7293F" w:rsidRPr="00A00A30" w:rsidRDefault="00E7293F" w:rsidP="00E7293F">
      <w:pPr>
        <w:numPr>
          <w:ilvl w:val="0"/>
          <w:numId w:val="2"/>
        </w:numPr>
        <w:tabs>
          <w:tab w:val="clear" w:pos="1065"/>
          <w:tab w:val="left" w:pos="360"/>
        </w:tabs>
        <w:ind w:left="360" w:hanging="360"/>
        <w:jc w:val="both"/>
        <w:rPr>
          <w:iCs/>
        </w:rPr>
      </w:pPr>
      <w:r w:rsidRPr="00A00A30">
        <w:rPr>
          <w:b/>
          <w:bCs/>
        </w:rPr>
        <w:t>A szakdolgozat</w:t>
      </w:r>
      <w:r w:rsidR="0037796C">
        <w:rPr>
          <w:b/>
        </w:rPr>
        <w:t xml:space="preserve"> kredit</w:t>
      </w:r>
      <w:r w:rsidRPr="00A00A30">
        <w:rPr>
          <w:b/>
        </w:rPr>
        <w:t xml:space="preserve">értéke: </w:t>
      </w:r>
      <w:r w:rsidRPr="00A00A30">
        <w:rPr>
          <w:b/>
          <w:iCs/>
        </w:rPr>
        <w:t>10 kredit</w:t>
      </w:r>
    </w:p>
    <w:p w14:paraId="2D758ADD" w14:textId="77777777" w:rsidR="004B68CD" w:rsidRPr="00A00A30" w:rsidRDefault="004B68CD"/>
    <w:sectPr w:rsidR="004B68CD" w:rsidRPr="00A00A30" w:rsidSect="00103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6B1E"/>
    <w:multiLevelType w:val="hybridMultilevel"/>
    <w:tmpl w:val="639AA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673F9D"/>
    <w:multiLevelType w:val="hybridMultilevel"/>
    <w:tmpl w:val="4AB46FCC"/>
    <w:lvl w:ilvl="0" w:tplc="F976AE38">
      <w:start w:val="3"/>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42F20CB1"/>
    <w:multiLevelType w:val="hybridMultilevel"/>
    <w:tmpl w:val="8F24D9AA"/>
    <w:lvl w:ilvl="0" w:tplc="B6D49916">
      <w:start w:val="2"/>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B2F1131"/>
    <w:multiLevelType w:val="hybridMultilevel"/>
    <w:tmpl w:val="510A4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441C0E"/>
    <w:multiLevelType w:val="hybridMultilevel"/>
    <w:tmpl w:val="D96C8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71611DC"/>
    <w:multiLevelType w:val="hybridMultilevel"/>
    <w:tmpl w:val="68F2922C"/>
    <w:lvl w:ilvl="0" w:tplc="9E00FE82">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32B0C60"/>
    <w:multiLevelType w:val="hybridMultilevel"/>
    <w:tmpl w:val="45A2EF50"/>
    <w:lvl w:ilvl="0" w:tplc="BC8CF11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9950BA7"/>
    <w:multiLevelType w:val="hybridMultilevel"/>
    <w:tmpl w:val="C9BEFA74"/>
    <w:lvl w:ilvl="0" w:tplc="D6701E26">
      <w:start w:val="4"/>
      <w:numFmt w:val="decimal"/>
      <w:lvlText w:val="%1."/>
      <w:lvlJc w:val="left"/>
      <w:pPr>
        <w:tabs>
          <w:tab w:val="num" w:pos="1065"/>
        </w:tabs>
        <w:ind w:left="1065" w:hanging="705"/>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E711105"/>
    <w:multiLevelType w:val="hybridMultilevel"/>
    <w:tmpl w:val="5C2C9616"/>
    <w:lvl w:ilvl="0" w:tplc="8A3E1726">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6"/>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3F"/>
    <w:rsid w:val="00103A97"/>
    <w:rsid w:val="00192988"/>
    <w:rsid w:val="00343B21"/>
    <w:rsid w:val="0037796C"/>
    <w:rsid w:val="003E5A82"/>
    <w:rsid w:val="004B68CD"/>
    <w:rsid w:val="004B6BB6"/>
    <w:rsid w:val="00501F2D"/>
    <w:rsid w:val="006A5CB7"/>
    <w:rsid w:val="00880C18"/>
    <w:rsid w:val="00A00A30"/>
    <w:rsid w:val="00AE1FF4"/>
    <w:rsid w:val="00D02223"/>
    <w:rsid w:val="00E7293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BA8"/>
  <w15:docId w15:val="{4B5ED761-FC5A-4C85-B708-B798EAB3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93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7293F"/>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rsid w:val="00E7293F"/>
    <w:pPr>
      <w:spacing w:before="100" w:beforeAutospacing="1" w:after="100" w:afterAutospacing="1"/>
    </w:pPr>
    <w:rPr>
      <w:color w:val="000000"/>
    </w:rPr>
  </w:style>
  <w:style w:type="paragraph" w:customStyle="1" w:styleId="Default">
    <w:name w:val="Default"/>
    <w:rsid w:val="00E7293F"/>
    <w:pPr>
      <w:autoSpaceDE w:val="0"/>
      <w:autoSpaceDN w:val="0"/>
      <w:adjustRightInd w:val="0"/>
      <w:spacing w:after="0" w:line="240" w:lineRule="auto"/>
    </w:pPr>
    <w:rPr>
      <w:rFonts w:ascii="Georgia" w:eastAsia="Times New Roman" w:hAnsi="Georgia" w:cs="Georgia"/>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F855-54C7-4DD6-BD8E-B629490C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3499</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Rákóczy Anita</dc:creator>
  <cp:lastModifiedBy>Osteve73</cp:lastModifiedBy>
  <cp:revision>3</cp:revision>
  <cp:lastPrinted>2015-12-01T13:50:00Z</cp:lastPrinted>
  <dcterms:created xsi:type="dcterms:W3CDTF">2021-01-11T09:55:00Z</dcterms:created>
  <dcterms:modified xsi:type="dcterms:W3CDTF">2021-01-11T10:17:00Z</dcterms:modified>
</cp:coreProperties>
</file>