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B2" w:rsidRDefault="000425B2" w:rsidP="000425B2">
      <w:pPr>
        <w:pStyle w:val="NormlWeb"/>
        <w:rPr>
          <w:b/>
          <w:bCs/>
          <w:color w:val="174E86"/>
        </w:rPr>
      </w:pPr>
      <w:r>
        <w:rPr>
          <w:b/>
          <w:bCs/>
          <w:color w:val="174E86"/>
        </w:rPr>
        <w:t>UNESCO-Oroszország Mengyelejev Nemzetközi Alaptudomá</w:t>
      </w:r>
      <w:r>
        <w:rPr>
          <w:b/>
          <w:bCs/>
          <w:color w:val="174E86"/>
        </w:rPr>
        <w:t>nyi Díj első pályázati felhívása</w:t>
      </w:r>
    </w:p>
    <w:p w:rsidR="000425B2" w:rsidRDefault="000425B2" w:rsidP="000425B2">
      <w:pPr>
        <w:pStyle w:val="NormlWeb"/>
        <w:jc w:val="both"/>
        <w:rPr>
          <w:color w:val="000000"/>
        </w:rPr>
      </w:pPr>
      <w:r>
        <w:rPr>
          <w:color w:val="174E86"/>
        </w:rPr>
        <w:t>A felhívást évente hirdetik meg,</w:t>
      </w:r>
      <w:r>
        <w:rPr>
          <w:rStyle w:val="apple-converted-space"/>
          <w:color w:val="174E86"/>
        </w:rPr>
        <w:t> </w:t>
      </w:r>
      <w:r>
        <w:rPr>
          <w:b/>
          <w:bCs/>
          <w:color w:val="174E86"/>
        </w:rPr>
        <w:t>minden esztendőben két nyertessel</w:t>
      </w:r>
      <w:r>
        <w:rPr>
          <w:color w:val="174E86"/>
        </w:rPr>
        <w:t xml:space="preserve">. Mindkét díjazott 250.000 USD összegű pénzjutalmat, egy oklevelet és egy aranyérmet vehet át elismerésként. A jelöltekre vonatkozóan életkori megkötés nincs, ehhez hasonlóan az országonként benyújtható felterjesztések számára vonatkozóan sincs korlátozás. A jelöltekre és munkásságukra vonatkozó </w:t>
      </w:r>
      <w:proofErr w:type="gramStart"/>
      <w:r>
        <w:rPr>
          <w:color w:val="174E86"/>
        </w:rPr>
        <w:t>kritériumok</w:t>
      </w:r>
      <w:proofErr w:type="gramEnd"/>
      <w:r>
        <w:rPr>
          <w:color w:val="174E86"/>
        </w:rPr>
        <w:t xml:space="preserve"> teljes köre a fent említett dokumentumokból ismerhető meg.</w:t>
      </w:r>
      <w:r>
        <w:rPr>
          <w:rStyle w:val="apple-converted-space"/>
          <w:color w:val="174E86"/>
        </w:rPr>
        <w:t> </w:t>
      </w:r>
      <w:r>
        <w:rPr>
          <w:b/>
          <w:bCs/>
          <w:color w:val="174E86"/>
        </w:rPr>
        <w:t xml:space="preserve">A felhívás kifejezetten </w:t>
      </w:r>
      <w:proofErr w:type="spellStart"/>
      <w:r>
        <w:rPr>
          <w:b/>
          <w:bCs/>
          <w:color w:val="174E86"/>
        </w:rPr>
        <w:t>ösztönzi</w:t>
      </w:r>
      <w:proofErr w:type="spellEnd"/>
      <w:r>
        <w:rPr>
          <w:b/>
          <w:bCs/>
          <w:color w:val="174E86"/>
        </w:rPr>
        <w:t xml:space="preserve"> tudós hölgyek jelölését</w:t>
      </w:r>
      <w:r>
        <w:rPr>
          <w:color w:val="174E86"/>
        </w:rPr>
        <w:t>.</w:t>
      </w:r>
    </w:p>
    <w:p w:rsidR="000425B2" w:rsidRDefault="000425B2" w:rsidP="000425B2">
      <w:pPr>
        <w:pStyle w:val="NormlWeb"/>
        <w:jc w:val="both"/>
        <w:rPr>
          <w:color w:val="000000"/>
        </w:rPr>
      </w:pPr>
      <w:r>
        <w:rPr>
          <w:color w:val="174E86"/>
        </w:rPr>
        <w:t> </w:t>
      </w:r>
    </w:p>
    <w:p w:rsidR="000425B2" w:rsidRDefault="000425B2" w:rsidP="000425B2">
      <w:pPr>
        <w:pStyle w:val="NormlWeb"/>
        <w:jc w:val="both"/>
        <w:rPr>
          <w:color w:val="000000"/>
        </w:rPr>
      </w:pPr>
      <w:r>
        <w:rPr>
          <w:color w:val="174E86"/>
          <w:u w:val="single"/>
        </w:rPr>
        <w:t>A díj célja:</w:t>
      </w:r>
      <w:r>
        <w:rPr>
          <w:color w:val="174E86"/>
        </w:rPr>
        <w:t> az alaptudományok (kémia, fizika, matematika és biológia) területén a fejlődésre, az ismeretterjesztésre és nemzetközi együttműködésre</w:t>
      </w:r>
      <w:bookmarkStart w:id="0" w:name="_GoBack"/>
      <w:bookmarkEnd w:id="0"/>
      <w:r>
        <w:rPr>
          <w:color w:val="174E86"/>
        </w:rPr>
        <w:t xml:space="preserve"> vonatkozóan elért azon főbb eredmények elismerése és jutalmazása, amelyek jelentős átalakító hatással bírnak regionális, vagy </w:t>
      </w:r>
      <w:proofErr w:type="gramStart"/>
      <w:r>
        <w:rPr>
          <w:color w:val="174E86"/>
        </w:rPr>
        <w:t>globális</w:t>
      </w:r>
      <w:proofErr w:type="gramEnd"/>
      <w:r>
        <w:rPr>
          <w:color w:val="174E86"/>
        </w:rPr>
        <w:t xml:space="preserve"> szinten.</w:t>
      </w:r>
    </w:p>
    <w:p w:rsidR="000425B2" w:rsidRDefault="000425B2" w:rsidP="000425B2">
      <w:pPr>
        <w:pStyle w:val="NormlWeb"/>
        <w:jc w:val="both"/>
        <w:rPr>
          <w:color w:val="000000"/>
        </w:rPr>
      </w:pPr>
      <w:r>
        <w:rPr>
          <w:color w:val="174E86"/>
        </w:rPr>
        <w:t> </w:t>
      </w:r>
    </w:p>
    <w:p w:rsidR="000425B2" w:rsidRDefault="000425B2" w:rsidP="000425B2">
      <w:pPr>
        <w:pStyle w:val="NormlWeb"/>
        <w:jc w:val="both"/>
        <w:rPr>
          <w:color w:val="000000"/>
        </w:rPr>
      </w:pPr>
      <w:r>
        <w:rPr>
          <w:b/>
          <w:bCs/>
          <w:color w:val="174E86"/>
        </w:rPr>
        <w:t>Jelölési javaslat benyújtására jogosultak köre: </w:t>
      </w:r>
      <w:r>
        <w:rPr>
          <w:color w:val="174E86"/>
        </w:rPr>
        <w:t xml:space="preserve">a tagállamok az adott ország UNESCO nemzeti bizottságával együttműködésben, az UNESCO-val hivatalos partnerségben lévő, a díj szempontjából releváns területeken </w:t>
      </w:r>
      <w:proofErr w:type="gramStart"/>
      <w:r>
        <w:rPr>
          <w:color w:val="174E86"/>
        </w:rPr>
        <w:t>aktív</w:t>
      </w:r>
      <w:proofErr w:type="gramEnd"/>
      <w:r>
        <w:rPr>
          <w:color w:val="174E86"/>
        </w:rPr>
        <w:t xml:space="preserve"> nem-kormányzati szervezetek, UNESCO Tanszékek, UNESCO 2-es kategóriájú intézetek, nemzetközi tudományos szervezetek és egyetemek.</w:t>
      </w:r>
    </w:p>
    <w:p w:rsidR="00EE5B1A" w:rsidRPr="000425B2" w:rsidRDefault="000425B2" w:rsidP="000425B2">
      <w:pPr>
        <w:rPr>
          <w:rFonts w:ascii="Times New Roman" w:hAnsi="Times New Roman" w:cs="Times New Roman"/>
          <w:sz w:val="24"/>
        </w:rPr>
      </w:pPr>
      <w:r w:rsidRPr="000425B2">
        <w:rPr>
          <w:rFonts w:ascii="Times New Roman" w:hAnsi="Times New Roman" w:cs="Times New Roman"/>
          <w:color w:val="174E86"/>
          <w:sz w:val="24"/>
        </w:rPr>
        <w:t>A díj hivatalos honlapja: </w:t>
      </w:r>
      <w:hyperlink r:id="rId4" w:history="1">
        <w:r w:rsidRPr="000425B2">
          <w:rPr>
            <w:rStyle w:val="Hiperhivatkozs"/>
            <w:rFonts w:ascii="Times New Roman" w:hAnsi="Times New Roman" w:cs="Times New Roman"/>
            <w:color w:val="174E86"/>
            <w:sz w:val="24"/>
          </w:rPr>
          <w:t>https://en.unesco.org/stem/basic-sciences-prize</w:t>
        </w:r>
      </w:hyperlink>
    </w:p>
    <w:sectPr w:rsidR="00EE5B1A" w:rsidRPr="0004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B2"/>
    <w:rsid w:val="000425B2"/>
    <w:rsid w:val="00E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7250"/>
  <w15:chartTrackingRefBased/>
  <w15:docId w15:val="{8C6BD60D-C1C9-43A2-B3E5-73FC1EAB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25B2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425B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425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042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unesco.org/stem/basic-sciences-priz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Dóra</dc:creator>
  <cp:keywords/>
  <dc:description/>
  <cp:lastModifiedBy>Tóth Dóra</cp:lastModifiedBy>
  <cp:revision>1</cp:revision>
  <dcterms:created xsi:type="dcterms:W3CDTF">2021-01-07T15:10:00Z</dcterms:created>
  <dcterms:modified xsi:type="dcterms:W3CDTF">2021-01-07T15:12:00Z</dcterms:modified>
</cp:coreProperties>
</file>