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14" w:rsidRDefault="00DF3D14" w:rsidP="00DF3D14">
      <w:pPr>
        <w:pStyle w:val="NormlWeb"/>
        <w:spacing w:before="0" w:beforeAutospacing="0" w:after="0" w:afterAutospacing="0"/>
        <w:jc w:val="center"/>
        <w:rPr>
          <w:rStyle w:val="Kiemels2"/>
          <w:rFonts w:ascii="inherit" w:hAnsi="inherit"/>
          <w:color w:val="000000"/>
          <w:sz w:val="32"/>
          <w:szCs w:val="32"/>
          <w:bdr w:val="none" w:sz="0" w:space="0" w:color="auto" w:frame="1"/>
        </w:rPr>
      </w:pPr>
      <w:r>
        <w:rPr>
          <w:rStyle w:val="Kiemels2"/>
          <w:rFonts w:ascii="inherit" w:hAnsi="inherit"/>
          <w:color w:val="000000"/>
          <w:sz w:val="32"/>
          <w:szCs w:val="32"/>
          <w:bdr w:val="none" w:sz="0" w:space="0" w:color="auto" w:frame="1"/>
        </w:rPr>
        <w:t>A Vallástudomány</w:t>
      </w:r>
      <w:r w:rsidRPr="00DF3D14">
        <w:rPr>
          <w:rStyle w:val="Kiemels2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MA képzésre való felvételi intézményi követelményei</w:t>
      </w:r>
      <w:r>
        <w:rPr>
          <w:rStyle w:val="Kiemels2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DF3D14" w:rsidRDefault="00DF3D14" w:rsidP="00DF3D14">
      <w:pPr>
        <w:pStyle w:val="NormlWeb"/>
        <w:spacing w:before="0" w:beforeAutospacing="0" w:after="0" w:afterAutospacing="0"/>
        <w:jc w:val="center"/>
        <w:rPr>
          <w:rStyle w:val="Kiemels2"/>
          <w:rFonts w:ascii="inherit" w:hAnsi="inherit"/>
          <w:b w:val="0"/>
          <w:color w:val="000000"/>
          <w:sz w:val="22"/>
          <w:szCs w:val="22"/>
          <w:bdr w:val="none" w:sz="0" w:space="0" w:color="auto" w:frame="1"/>
        </w:rPr>
      </w:pPr>
      <w:r w:rsidRPr="00DF3D14">
        <w:rPr>
          <w:rStyle w:val="Kiemels2"/>
          <w:rFonts w:ascii="inherit" w:hAnsi="inherit"/>
          <w:b w:val="0"/>
          <w:color w:val="000000"/>
          <w:sz w:val="22"/>
          <w:szCs w:val="22"/>
          <w:bdr w:val="none" w:sz="0" w:space="0" w:color="auto" w:frame="1"/>
        </w:rPr>
        <w:t>(nappali és levelező képzés)</w:t>
      </w:r>
    </w:p>
    <w:p w:rsidR="00DF3D14" w:rsidRDefault="00C9744C" w:rsidP="00DF3D14">
      <w:pPr>
        <w:pStyle w:val="NormlWeb"/>
        <w:spacing w:before="0" w:beforeAutospacing="0" w:after="0" w:afterAutospacing="0"/>
        <w:jc w:val="center"/>
        <w:rPr>
          <w:rStyle w:val="Kiemels2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Style w:val="Kiemels2"/>
          <w:rFonts w:ascii="inherit" w:hAnsi="inherit"/>
          <w:color w:val="000000"/>
          <w:sz w:val="28"/>
          <w:szCs w:val="28"/>
          <w:bdr w:val="none" w:sz="0" w:space="0" w:color="auto" w:frame="1"/>
        </w:rPr>
        <w:t>2022</w:t>
      </w:r>
    </w:p>
    <w:p w:rsidR="00DF3D14" w:rsidRPr="00DF3D14" w:rsidRDefault="00DF3D14" w:rsidP="00DF3D14">
      <w:pPr>
        <w:pStyle w:val="NormlWeb"/>
        <w:spacing w:before="0" w:beforeAutospacing="0" w:after="0" w:afterAutospacing="0"/>
        <w:jc w:val="center"/>
        <w:rPr>
          <w:rStyle w:val="Kiemels2"/>
          <w:rFonts w:ascii="inherit" w:hAnsi="inherit"/>
          <w:color w:val="000000"/>
          <w:sz w:val="28"/>
          <w:szCs w:val="28"/>
          <w:bdr w:val="none" w:sz="0" w:space="0" w:color="auto" w:frame="1"/>
        </w:rPr>
      </w:pPr>
    </w:p>
    <w:p w:rsidR="00DF3D14" w:rsidRDefault="00DF3D14" w:rsidP="00DF3D14">
      <w:pPr>
        <w:pStyle w:val="Norml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DF3D14">
        <w:rPr>
          <w:rFonts w:ascii="Verdana" w:hAnsi="Verdana"/>
          <w:b/>
          <w:color w:val="000000"/>
          <w:sz w:val="20"/>
          <w:szCs w:val="20"/>
        </w:rPr>
        <w:t>I.</w:t>
      </w:r>
      <w:r w:rsidR="00C9744C">
        <w:rPr>
          <w:rFonts w:ascii="Verdana" w:hAnsi="Verdana"/>
          <w:color w:val="000000"/>
          <w:sz w:val="20"/>
          <w:szCs w:val="20"/>
        </w:rPr>
        <w:t>Egyrészt</w:t>
      </w:r>
      <w:proofErr w:type="spellEnd"/>
      <w:r w:rsidR="00C9744C">
        <w:rPr>
          <w:rFonts w:ascii="Verdana" w:hAnsi="Verdana"/>
          <w:color w:val="000000"/>
          <w:sz w:val="20"/>
          <w:szCs w:val="20"/>
        </w:rPr>
        <w:t xml:space="preserve"> egy, 2022. június 20</w:t>
      </w:r>
      <w:r>
        <w:rPr>
          <w:rFonts w:ascii="Verdana" w:hAnsi="Verdana"/>
          <w:color w:val="000000"/>
          <w:sz w:val="20"/>
          <w:szCs w:val="20"/>
        </w:rPr>
        <w:t xml:space="preserve">. hétfőig beküldendő </w:t>
      </w:r>
      <w:r w:rsidRPr="00DF3D14">
        <w:rPr>
          <w:rFonts w:ascii="Verdana" w:hAnsi="Verdana"/>
          <w:b/>
          <w:color w:val="000000"/>
          <w:sz w:val="20"/>
          <w:szCs w:val="20"/>
          <w:u w:val="single"/>
        </w:rPr>
        <w:t>portfólió</w:t>
      </w:r>
      <w:r>
        <w:rPr>
          <w:rFonts w:ascii="Verdana" w:hAnsi="Verdana"/>
          <w:color w:val="000000"/>
          <w:sz w:val="20"/>
          <w:szCs w:val="20"/>
        </w:rPr>
        <w:t xml:space="preserve"> (emailen: balassa.eszter@kre.hu,  vagy postán: Szabadbölcsészet Tanszék, 1088 Budapest, Reviczky utca 4</w:t>
      </w:r>
      <w:proofErr w:type="gramStart"/>
      <w:r>
        <w:rPr>
          <w:rFonts w:ascii="Verdana" w:hAnsi="Verdana"/>
          <w:color w:val="000000"/>
          <w:sz w:val="20"/>
          <w:szCs w:val="20"/>
        </w:rPr>
        <w:t>.,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vagy személyesen: KRE B</w:t>
      </w:r>
      <w:r w:rsidR="00C9744C">
        <w:rPr>
          <w:rFonts w:ascii="Verdana" w:hAnsi="Verdana"/>
          <w:color w:val="000000"/>
          <w:sz w:val="20"/>
          <w:szCs w:val="20"/>
        </w:rPr>
        <w:t>TK Szabadbölcsészet Tanszék, II. emelet, 226-o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s szoba).</w:t>
      </w:r>
    </w:p>
    <w:p w:rsidR="00DF3D14" w:rsidRP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DF3D14">
        <w:rPr>
          <w:rFonts w:ascii="Verdana" w:hAnsi="Verdana"/>
          <w:color w:val="000000"/>
          <w:sz w:val="20"/>
          <w:szCs w:val="20"/>
        </w:rPr>
        <w:br/>
        <w:t>A portfólió tartalma:</w:t>
      </w:r>
    </w:p>
    <w:p w:rsidR="00DF3D14" w:rsidRPr="00DF3D14" w:rsidRDefault="00DF3D14" w:rsidP="00DF3D14">
      <w:pPr>
        <w:pStyle w:val="Norm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DF3D14">
        <w:rPr>
          <w:rStyle w:val="Kiemels"/>
          <w:rFonts w:asciiTheme="majorHAnsi" w:hAnsiTheme="majorHAnsi" w:cstheme="majorHAnsi"/>
          <w:color w:val="000000"/>
          <w:bdr w:val="none" w:sz="0" w:space="0" w:color="auto" w:frame="1"/>
        </w:rPr>
        <w:t>- egy rövid szakmai életrajz;</w:t>
      </w:r>
    </w:p>
    <w:p w:rsidR="00DF3D14" w:rsidRPr="00DF3D14" w:rsidRDefault="00DF3D14" w:rsidP="00DF3D14">
      <w:pPr>
        <w:pStyle w:val="Norm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DF3D14">
        <w:rPr>
          <w:rStyle w:val="Kiemels"/>
          <w:rFonts w:asciiTheme="majorHAnsi" w:hAnsiTheme="majorHAnsi" w:cstheme="majorHAnsi"/>
          <w:color w:val="000000"/>
          <w:bdr w:val="none" w:sz="0" w:space="0" w:color="auto" w:frame="1"/>
        </w:rPr>
        <w:t>- egy motivációs levél;</w:t>
      </w:r>
    </w:p>
    <w:p w:rsidR="00DF3D14" w:rsidRPr="00DF3D14" w:rsidRDefault="00DF3D14" w:rsidP="00DF3D14">
      <w:pPr>
        <w:pStyle w:val="NormlWeb"/>
        <w:spacing w:before="0" w:beforeAutospacing="0" w:after="0" w:afterAutospacing="0"/>
        <w:rPr>
          <w:rStyle w:val="Kiemels"/>
          <w:rFonts w:asciiTheme="majorHAnsi" w:hAnsiTheme="majorHAnsi" w:cstheme="majorHAnsi"/>
          <w:color w:val="000000"/>
          <w:bdr w:val="none" w:sz="0" w:space="0" w:color="auto" w:frame="1"/>
        </w:rPr>
      </w:pPr>
      <w:r w:rsidRPr="00DF3D14">
        <w:rPr>
          <w:rStyle w:val="Kiemels"/>
          <w:rFonts w:asciiTheme="majorHAnsi" w:hAnsiTheme="majorHAnsi" w:cstheme="majorHAnsi"/>
          <w:color w:val="000000"/>
          <w:bdr w:val="none" w:sz="0" w:space="0" w:color="auto" w:frame="1"/>
        </w:rPr>
        <w:t>- egy válogatás, ami a korábbi képzésben készült két legjobb írásbeli munkából áll (szemináriumi dolgozat, tudományos diákköri dolgozat, diplomamunka, publikáció).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Style w:val="Kiemels"/>
          <w:rFonts w:ascii="inherit" w:hAnsi="inherit"/>
          <w:color w:val="000000"/>
          <w:sz w:val="15"/>
          <w:szCs w:val="15"/>
          <w:bdr w:val="none" w:sz="0" w:space="0" w:color="auto" w:frame="1"/>
        </w:rPr>
      </w:pP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</w:rPr>
        <w:t>II.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Másrészt egy </w:t>
      </w:r>
      <w:r w:rsidRPr="00DF3D14">
        <w:rPr>
          <w:rFonts w:ascii="Verdana" w:hAnsi="Verdana"/>
          <w:b/>
          <w:color w:val="000000"/>
          <w:sz w:val="20"/>
          <w:szCs w:val="20"/>
          <w:u w:val="single"/>
        </w:rPr>
        <w:t>szóbeli</w:t>
      </w:r>
      <w:r w:rsidRPr="00DF3D14">
        <w:rPr>
          <w:rStyle w:val="Kiemels2"/>
          <w:rFonts w:ascii="Verdana" w:hAnsi="Verdana"/>
          <w:b w:val="0"/>
          <w:color w:val="000000"/>
          <w:sz w:val="20"/>
          <w:szCs w:val="20"/>
          <w:u w:val="single"/>
          <w:bdr w:val="none" w:sz="0" w:space="0" w:color="auto" w:frame="1"/>
        </w:rPr>
        <w:t> </w:t>
      </w:r>
      <w:r w:rsidRPr="00DF3D14">
        <w:rPr>
          <w:rStyle w:val="Kiemels2"/>
          <w:rFonts w:ascii="Verdana" w:hAnsi="Verdana"/>
          <w:b w:val="0"/>
          <w:color w:val="000000"/>
          <w:sz w:val="20"/>
          <w:szCs w:val="20"/>
          <w:u w:val="single"/>
        </w:rPr>
        <w:t>szakmai beszélgetés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a beküldött portfólió, és egy-egy, a hallgató által választott </w:t>
      </w:r>
      <w:proofErr w:type="gramStart"/>
      <w:r>
        <w:rPr>
          <w:rFonts w:ascii="Verdana" w:hAnsi="Verdana"/>
          <w:color w:val="000000"/>
          <w:sz w:val="20"/>
          <w:szCs w:val="20"/>
        </w:rPr>
        <w:t>valláselméleti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ill. vallástörténeti területről a megadott szakirodalom alapján.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</w:pPr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Az </w:t>
      </w:r>
      <w:proofErr w:type="gramStart"/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(</w:t>
      </w:r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00"/>
        </w:rPr>
        <w:t>Valláselmélet</w:t>
      </w:r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  <w:t>) és B (</w:t>
      </w:r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00"/>
        </w:rPr>
        <w:t>Vallástörténet</w:t>
      </w:r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  <w:t>) a blokkból egy-egy egységet kell választani. Az egyes egységek 250-300 oldalnyi olvasnivalót jelentenek.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A. Valláselmélet: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1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 Otto, Rudolf: 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szent. Budapest: Osiris, 2001.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 Van Der </w:t>
      </w:r>
      <w:proofErr w:type="spellStart"/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Leeuw</w:t>
      </w:r>
      <w:proofErr w:type="spellEnd"/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vallás fenomenológiája. Budapest: Osiris, 2001. (az alábbi részek)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„A vallás tárgya:” 19-167. o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„A vallás alanya:” 171-293.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„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Epilegomena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:” 583-603.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 3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 Simon Róbert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szerk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.: A vallástörténet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klasszikusai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 Budapest: Osiris, 2003. (az alábbi részek)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Ibn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Khaldun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„Bevezetés a történelembe:” 72-77.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Max Müller: „Összehasonlító mitológia:” 158-196.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Fustel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Coulanges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„Az ókori község:” 268-288. o.,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E. B.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Tylor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„Az animizmus:” 301-307. o.; „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Továbbélés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:” 308-315.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Julius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Wellhausen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„Mózes öt könyvének történeti vizsgálata:” 328-336.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Frazer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„Az aranyág:” 374-409.o.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E.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Troeltsch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protestantizmus társadalmi hatásai:” 544-565.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E.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Durkheim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vallási élet alapformái:” 578-591.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M.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Mauss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„Az imádság:” 625- 640.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Lucien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Lévi-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Bruhl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„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természeti népek világképe:” 648-657.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B. Vallástörténet: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1. Zsidó-keresztény vallási hagyományok: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  <w:t>A Bibliából olvasandó: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  Mózes 1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.,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2. és 5. könyve (Teremtés, Kivonulás, Második törvénykönyv);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  50-51. és 103-104. zsoltár;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  János-evangélium;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  Róma-levél;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lastRenderedPageBreak/>
        <w:t>   Zsidó-levél.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"/>
          <w:rFonts w:ascii="Verdana" w:hAnsi="Verdana"/>
          <w:color w:val="000000"/>
          <w:sz w:val="20"/>
          <w:szCs w:val="20"/>
          <w:bdr w:val="none" w:sz="0" w:space="0" w:color="auto" w:frame="1"/>
        </w:rPr>
        <w:t>Az egyes részekhez még: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  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Pecsuk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Ottó (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szerk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.): Bibliaismereti kézikönyv. Kálvin Kiadó, Budapest, 2004, 32-80; 90-97; 211-217; 243-271; és 625-634. oldalak.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2.Görög-római vallási hagyományok: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Hegyi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Dolores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Polis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és vallás. Bevezetés a görög vallástörténetbe. Budapest: Osiris Kiadó, 2002, 29-125. o.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Hésziodosz: „Az istenek születése.” In Hésziodosz: Istenek születése, Munkák és napok. Ford. Trencsényi-Waldapfel Imre. Európa diákkönyvtár. Budapest: Európa Kiadó,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é.n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.,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7-39. o. Letölthető: http://mek.oszk.hu/06200/06221/index.phtm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Homérosz: „Apollón- és Démétér-himnusz.” Ford. Devecseri Gábor. In Homérosz: Iliász, Odüsszeia, Homéroszi költemények. Pantheon Kiadó 1993, 795-823. o. Letölthető: http://gepeskonyv.btk.elte.hu/adatok/Okor-kelet/Okori.es.keleti.vallasok/index.asp_id=76.html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Odüsszeia: „XI. ének (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Neküia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).” Ford. Devecseri Gábor. In Homérosz: Iliász, Odüsszeia, Homéroszi költemények. Pantheon Kiadó, 1993. 593-640. o. Letölthető: http://mek.oszk.hu/00400/00408/index.phtml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Hahn István: Róma istenei. Budapest: Gondolat kiadó, 1975. „Görög és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etruszk hatás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” című fejezet: 53-85. o.; „Állam és vallás” című fejezet bevezetése: 141-150. o. Letölthető: http://mek.oszk.hu/05400/05422/index.phtml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Kiemels2"/>
          <w:rFonts w:ascii="Verdana" w:hAnsi="Verdana"/>
          <w:color w:val="000000"/>
          <w:sz w:val="20"/>
          <w:szCs w:val="20"/>
          <w:bdr w:val="none" w:sz="0" w:space="0" w:color="auto" w:frame="1"/>
        </w:rPr>
        <w:t>3. Keleti vallások: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Rigvéda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Teremtéshimnuszok. Ford. Fórizs L. Farkas Lőrinc Imre Kiadó, 1995: „Teremtéshimnusz,” 153-168.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Upanisadok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II (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Cshándógja-upanisád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), Ford.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Tenigl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-Takács L. Budapest: A Tan kapuja, 1993 „6-8. tanítás,” 73-104.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Bhagavad-Gítá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Ford.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Vekerdi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J. Budapest: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Terebess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, 1997: XV-XVIII.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ének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, 89-111.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Glasenapp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, H.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von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Az öt világvallás. Ford. Pálvölgyi E. Budapest: Akkord Kiadó, 2012, 13-44. és 52-62. o.</w:t>
      </w:r>
    </w:p>
    <w:p w:rsidR="00DF3D14" w:rsidRDefault="00DF3D14" w:rsidP="00DF3D14">
      <w:pPr>
        <w:pStyle w:val="Norm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Buddha beszédei. Ford.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Vekerdi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J. Budapest: Helikon, 1989: „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Tan kerekének elindítása,” 45. o.; „A szenvedés láncolata,” 67-70. o.; „A létszomj kioltása,” 112-117.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Vekerdi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J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.: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„Utószó” in Buddha beszédei (mint fent), 193-207.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Lótusz-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szútra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 Letölthető innét: </w:t>
      </w:r>
      <w:hyperlink r:id="rId5" w:tgtFrame="_blank" w:history="1">
        <w:r>
          <w:rPr>
            <w:rStyle w:val="Hiperhivatkozs"/>
            <w:rFonts w:ascii="Verdana" w:hAnsi="Verdana"/>
            <w:color w:val="904D14"/>
            <w:sz w:val="20"/>
            <w:szCs w:val="20"/>
            <w:bdr w:val="none" w:sz="0" w:space="0" w:color="auto" w:frame="1"/>
          </w:rPr>
          <w:t>https://sites.google.com/site/mahajanaszoevegek/</w:t>
        </w:r>
      </w:hyperlink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Korán. Ford. Simon R. Budapest: Helikon, 1987: „1-2. szúra,” 5-36. o.; „104-113. szúra,” 466-476.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Goldziher Ignác: Előadások az iszlámról. Ford. Kőrösi L. Budapest: Katalizátor Kiadó, 2008: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  <w:t>1. előadás, 19-46.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Tőkei Ferenc: Kínai filozófia, Ókor I. Budapest: Akadémiai Kiadó, 1980: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Konfuciusz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 I-IV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.: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„Beszélgetések és mondások,” 53-76. o.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Tőkei Ferenc: Kínai filozófia, Ókor II. Budapest: Akadémiai Kiadó, 1980: Lao-ce: „Tao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Tö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King,” 17-46. o.</w:t>
      </w:r>
    </w:p>
    <w:p w:rsidR="00DF3D14" w:rsidRDefault="00DF3D14" w:rsidP="00DF3D14">
      <w:pPr>
        <w:pStyle w:val="Norm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Fung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Yu-lan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: A kínai filozófia rövid története. Ford.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Antóni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Cs. Budapest: Osiris, 2003, IV. fejezet: 67-79. o. és IX. fejezet: 129-141. o.</w:t>
      </w:r>
    </w:p>
    <w:p w:rsidR="00E249F7" w:rsidRPr="00DF3D14" w:rsidRDefault="00E249F7" w:rsidP="00DF3D14"/>
    <w:sectPr w:rsidR="00E249F7" w:rsidRPr="00DF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44B0"/>
    <w:multiLevelType w:val="hybridMultilevel"/>
    <w:tmpl w:val="54BC455A"/>
    <w:lvl w:ilvl="0" w:tplc="A880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38F1"/>
    <w:multiLevelType w:val="hybridMultilevel"/>
    <w:tmpl w:val="B628C00C"/>
    <w:lvl w:ilvl="0" w:tplc="2FF8C930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44024EC"/>
    <w:multiLevelType w:val="hybridMultilevel"/>
    <w:tmpl w:val="E83E1A3A"/>
    <w:lvl w:ilvl="0" w:tplc="70A27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F7"/>
    <w:rsid w:val="0071294C"/>
    <w:rsid w:val="00C9744C"/>
    <w:rsid w:val="00DF3D14"/>
    <w:rsid w:val="00E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D9B"/>
  <w15:chartTrackingRefBased/>
  <w15:docId w15:val="{E38503C9-4E2E-4849-B244-28FD6B19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49F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F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F3D14"/>
    <w:rPr>
      <w:b/>
      <w:bCs/>
    </w:rPr>
  </w:style>
  <w:style w:type="character" w:styleId="Kiemels">
    <w:name w:val="Emphasis"/>
    <w:basedOn w:val="Bekezdsalapbettpusa"/>
    <w:uiPriority w:val="20"/>
    <w:qFormat/>
    <w:rsid w:val="00DF3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mahajanaszoeveg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Balassa Eszter</cp:lastModifiedBy>
  <cp:revision>2</cp:revision>
  <dcterms:created xsi:type="dcterms:W3CDTF">2022-04-27T11:38:00Z</dcterms:created>
  <dcterms:modified xsi:type="dcterms:W3CDTF">2022-04-27T11:38:00Z</dcterms:modified>
</cp:coreProperties>
</file>