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436.36418181818186" w:lineRule="auto"/>
        <w:jc w:val="center"/>
        <w:rPr>
          <w:rFonts w:ascii="Calibri" w:cs="Calibri" w:eastAsia="Calibri" w:hAnsi="Calibri"/>
          <w:b w:val="1"/>
          <w:color w:val="1d222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d2228"/>
          <w:sz w:val="24"/>
          <w:szCs w:val="24"/>
          <w:rtl w:val="0"/>
        </w:rPr>
        <w:t xml:space="preserve">On the property-denoting clitic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1d2228"/>
          <w:sz w:val="24"/>
          <w:szCs w:val="24"/>
          <w:rtl w:val="0"/>
        </w:rPr>
        <w:t xml:space="preserve">ne </w:t>
      </w:r>
      <w:r w:rsidDel="00000000" w:rsidR="00000000" w:rsidRPr="00000000">
        <w:rPr>
          <w:rFonts w:ascii="Calibri" w:cs="Calibri" w:eastAsia="Calibri" w:hAnsi="Calibri"/>
          <w:b w:val="1"/>
          <w:color w:val="1d2228"/>
          <w:sz w:val="24"/>
          <w:szCs w:val="24"/>
          <w:rtl w:val="0"/>
        </w:rPr>
        <w:t xml:space="preserve">and the determiner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1d2228"/>
          <w:sz w:val="24"/>
          <w:szCs w:val="24"/>
          <w:rtl w:val="0"/>
        </w:rPr>
        <w:t xml:space="preserve">de/di</w:t>
      </w:r>
      <w:r w:rsidDel="00000000" w:rsidR="00000000" w:rsidRPr="00000000">
        <w:rPr>
          <w:rFonts w:ascii="Calibri" w:cs="Calibri" w:eastAsia="Calibri" w:hAnsi="Calibri"/>
          <w:b w:val="1"/>
          <w:color w:val="1d2228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2">
      <w:pPr>
        <w:shd w:fill="ffffff" w:val="clear"/>
        <w:spacing w:line="436.36418181818186" w:lineRule="auto"/>
        <w:jc w:val="center"/>
        <w:rPr>
          <w:rFonts w:ascii="Calibri" w:cs="Calibri" w:eastAsia="Calibri" w:hAnsi="Calibri"/>
          <w:b w:val="1"/>
          <w:color w:val="1d222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d2228"/>
          <w:sz w:val="24"/>
          <w:szCs w:val="24"/>
          <w:rtl w:val="0"/>
        </w:rPr>
        <w:t xml:space="preserve">A comparative analysis of Catalan and Italian</w:t>
      </w:r>
    </w:p>
    <w:p w:rsidR="00000000" w:rsidDel="00000000" w:rsidP="00000000" w:rsidRDefault="00000000" w:rsidRPr="00000000" w14:paraId="00000003">
      <w:pPr>
        <w:shd w:fill="ffffff" w:val="clear"/>
        <w:spacing w:line="436.36418181818186" w:lineRule="auto"/>
        <w:rPr>
          <w:rFonts w:ascii="Calibri" w:cs="Calibri" w:eastAsia="Calibri" w:hAnsi="Calibri"/>
          <w:color w:val="1d2228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d2228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spacing w:line="436.36418181818186" w:lineRule="auto"/>
        <w:rPr>
          <w:rFonts w:ascii="Calibri" w:cs="Calibri" w:eastAsia="Calibri" w:hAnsi="Calibri"/>
          <w:b w:val="1"/>
          <w:color w:val="1d222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d2228"/>
          <w:sz w:val="24"/>
          <w:szCs w:val="24"/>
          <w:rtl w:val="0"/>
        </w:rPr>
        <w:t xml:space="preserve">Abstract</w:t>
      </w:r>
    </w:p>
    <w:p w:rsidR="00000000" w:rsidDel="00000000" w:rsidP="00000000" w:rsidRDefault="00000000" w:rsidRPr="00000000" w14:paraId="00000005">
      <w:pPr>
        <w:shd w:fill="ffffff" w:val="clear"/>
        <w:spacing w:line="436.3641818181818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1d2228"/>
          <w:sz w:val="24"/>
          <w:szCs w:val="24"/>
          <w:rtl w:val="0"/>
        </w:rPr>
        <w:t xml:space="preserve">The clitic pronoun </w:t>
      </w:r>
      <w:r w:rsidDel="00000000" w:rsidR="00000000" w:rsidRPr="00000000">
        <w:rPr>
          <w:rFonts w:ascii="Calibri" w:cs="Calibri" w:eastAsia="Calibri" w:hAnsi="Calibri"/>
          <w:i w:val="1"/>
          <w:color w:val="1d2228"/>
          <w:sz w:val="24"/>
          <w:szCs w:val="24"/>
          <w:rtl w:val="0"/>
        </w:rPr>
        <w:t xml:space="preserve">ne</w:t>
      </w:r>
      <w:r w:rsidDel="00000000" w:rsidR="00000000" w:rsidRPr="00000000">
        <w:rPr>
          <w:rFonts w:ascii="Calibri" w:cs="Calibri" w:eastAsia="Calibri" w:hAnsi="Calibri"/>
          <w:color w:val="1d2228"/>
          <w:sz w:val="24"/>
          <w:szCs w:val="24"/>
          <w:rtl w:val="0"/>
        </w:rPr>
        <w:t xml:space="preserve"> and the functional element </w:t>
      </w:r>
      <w:r w:rsidDel="00000000" w:rsidR="00000000" w:rsidRPr="00000000">
        <w:rPr>
          <w:rFonts w:ascii="Calibri" w:cs="Calibri" w:eastAsia="Calibri" w:hAnsi="Calibri"/>
          <w:i w:val="1"/>
          <w:color w:val="1d2228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color w:val="1d2228"/>
          <w:sz w:val="24"/>
          <w:szCs w:val="24"/>
          <w:rtl w:val="0"/>
        </w:rPr>
        <w:t xml:space="preserve">introducing nominal constituents</w:t>
      </w:r>
      <w:r w:rsidDel="00000000" w:rsidR="00000000" w:rsidRPr="00000000">
        <w:rPr>
          <w:rFonts w:ascii="Calibri" w:cs="Calibri" w:eastAsia="Calibri" w:hAnsi="Calibri"/>
          <w:i w:val="1"/>
          <w:color w:val="1d2228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d2228"/>
          <w:sz w:val="24"/>
          <w:szCs w:val="24"/>
          <w:rtl w:val="0"/>
        </w:rPr>
        <w:t xml:space="preserve">have many nominal and prepositional functions across Romance languages. In this paper, we focus on the nominal functions, singling out three different bundles of semantic features that characterize both </w:t>
      </w:r>
      <w:r w:rsidDel="00000000" w:rsidR="00000000" w:rsidRPr="00000000">
        <w:rPr>
          <w:rFonts w:ascii="Calibri" w:cs="Calibri" w:eastAsia="Calibri" w:hAnsi="Calibri"/>
          <w:i w:val="1"/>
          <w:color w:val="1d2228"/>
          <w:sz w:val="24"/>
          <w:szCs w:val="24"/>
          <w:rtl w:val="0"/>
        </w:rPr>
        <w:t xml:space="preserve">ne </w:t>
      </w:r>
      <w:r w:rsidDel="00000000" w:rsidR="00000000" w:rsidRPr="00000000">
        <w:rPr>
          <w:rFonts w:ascii="Calibri" w:cs="Calibri" w:eastAsia="Calibri" w:hAnsi="Calibri"/>
          <w:color w:val="1d2228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i w:val="1"/>
          <w:color w:val="1d2228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color w:val="1d2228"/>
          <w:sz w:val="24"/>
          <w:szCs w:val="24"/>
          <w:rtl w:val="0"/>
        </w:rPr>
        <w:t xml:space="preserve">. They can denote properties of individual entities, properties of kinds, or predicate properties. The paper shows that Catalan </w:t>
      </w:r>
      <w:r w:rsidDel="00000000" w:rsidR="00000000" w:rsidRPr="00000000">
        <w:rPr>
          <w:rFonts w:ascii="Calibri" w:cs="Calibri" w:eastAsia="Calibri" w:hAnsi="Calibri"/>
          <w:i w:val="1"/>
          <w:color w:val="1d2228"/>
          <w:sz w:val="24"/>
          <w:szCs w:val="24"/>
          <w:rtl w:val="0"/>
        </w:rPr>
        <w:t xml:space="preserve">ne </w:t>
      </w:r>
      <w:r w:rsidDel="00000000" w:rsidR="00000000" w:rsidRPr="00000000">
        <w:rPr>
          <w:rFonts w:ascii="Calibri" w:cs="Calibri" w:eastAsia="Calibri" w:hAnsi="Calibri"/>
          <w:color w:val="1d2228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i w:val="1"/>
          <w:color w:val="1d2228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color w:val="1d2228"/>
          <w:sz w:val="24"/>
          <w:szCs w:val="24"/>
          <w:rtl w:val="0"/>
        </w:rPr>
        <w:t xml:space="preserve">display the three types of denotation, while Italian </w:t>
      </w:r>
      <w:r w:rsidDel="00000000" w:rsidR="00000000" w:rsidRPr="00000000">
        <w:rPr>
          <w:rFonts w:ascii="Calibri" w:cs="Calibri" w:eastAsia="Calibri" w:hAnsi="Calibri"/>
          <w:i w:val="1"/>
          <w:color w:val="1d2228"/>
          <w:sz w:val="24"/>
          <w:szCs w:val="24"/>
          <w:rtl w:val="0"/>
        </w:rPr>
        <w:t xml:space="preserve">ne </w:t>
      </w:r>
      <w:r w:rsidDel="00000000" w:rsidR="00000000" w:rsidRPr="00000000">
        <w:rPr>
          <w:rFonts w:ascii="Calibri" w:cs="Calibri" w:eastAsia="Calibri" w:hAnsi="Calibri"/>
          <w:color w:val="1d2228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i w:val="1"/>
          <w:color w:val="1d2228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color w:val="1d2228"/>
          <w:sz w:val="24"/>
          <w:szCs w:val="24"/>
          <w:rtl w:val="0"/>
        </w:rPr>
        <w:t xml:space="preserve"> only display the first one. This paper further supports the hypothesis, independently held by Cardinaletti and Giusti (2015, 2016) and Espinal and Cyrino (2021a, 2021b), that the indefinite determiner </w:t>
      </w:r>
      <w:r w:rsidDel="00000000" w:rsidR="00000000" w:rsidRPr="00000000">
        <w:rPr>
          <w:rFonts w:ascii="Calibri" w:cs="Calibri" w:eastAsia="Calibri" w:hAnsi="Calibri"/>
          <w:i w:val="1"/>
          <w:color w:val="1d2228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color w:val="1d2228"/>
          <w:sz w:val="24"/>
          <w:szCs w:val="24"/>
          <w:rtl w:val="0"/>
        </w:rPr>
        <w:t xml:space="preserve"> can be overt or silent, thereby unifying </w:t>
      </w:r>
      <w:r w:rsidDel="00000000" w:rsidR="00000000" w:rsidRPr="00000000">
        <w:rPr>
          <w:rFonts w:ascii="Calibri" w:cs="Calibri" w:eastAsia="Calibri" w:hAnsi="Calibri"/>
          <w:i w:val="1"/>
          <w:color w:val="1d2228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color w:val="1d2228"/>
          <w:sz w:val="24"/>
          <w:szCs w:val="24"/>
          <w:rtl w:val="0"/>
        </w:rPr>
        <w:t xml:space="preserve">-phrases (and the Italian partitive article) with bare nouns. The analysis of </w:t>
      </w:r>
      <w:r w:rsidDel="00000000" w:rsidR="00000000" w:rsidRPr="00000000">
        <w:rPr>
          <w:rFonts w:ascii="Calibri" w:cs="Calibri" w:eastAsia="Calibri" w:hAnsi="Calibri"/>
          <w:i w:val="1"/>
          <w:color w:val="1d2228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color w:val="1d2228"/>
          <w:sz w:val="24"/>
          <w:szCs w:val="24"/>
          <w:rtl w:val="0"/>
        </w:rPr>
        <w:t xml:space="preserve"> as an indefinite determiner is then extended to adjectival </w:t>
      </w:r>
      <w:r w:rsidDel="00000000" w:rsidR="00000000" w:rsidRPr="00000000">
        <w:rPr>
          <w:rFonts w:ascii="Calibri" w:cs="Calibri" w:eastAsia="Calibri" w:hAnsi="Calibri"/>
          <w:i w:val="1"/>
          <w:color w:val="1d2228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color w:val="1d2228"/>
          <w:sz w:val="24"/>
          <w:szCs w:val="24"/>
          <w:rtl w:val="0"/>
        </w:rPr>
        <w:t xml:space="preserve"> which is claimed to mark concord features on adjectives in both Catalan and Italian.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