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276.0005454545455" w:lineRule="auto"/>
        <w:jc w:val="both"/>
        <w:rPr>
          <w:rFonts w:ascii="Calibri" w:cs="Calibri" w:eastAsia="Calibri" w:hAnsi="Calibri"/>
          <w:color w:val="1d2228"/>
        </w:rPr>
      </w:pPr>
      <w:r w:rsidDel="00000000" w:rsidR="00000000" w:rsidRPr="00000000">
        <w:rPr>
          <w:rFonts w:ascii="Calibri" w:cs="Calibri" w:eastAsia="Calibri" w:hAnsi="Calibri"/>
          <w:color w:val="1d2228"/>
          <w:rtl w:val="0"/>
        </w:rPr>
        <w:t xml:space="preserve">Estonian direct objects can occur in the partitive, genitive or nominative case. For example: </w:t>
      </w:r>
      <w:r w:rsidDel="00000000" w:rsidR="00000000" w:rsidRPr="00000000">
        <w:rPr>
          <w:rFonts w:ascii="Calibri" w:cs="Calibri" w:eastAsia="Calibri" w:hAnsi="Calibri"/>
          <w:i w:val="1"/>
          <w:color w:val="1d2228"/>
          <w:rtl w:val="0"/>
        </w:rPr>
        <w:t xml:space="preserve">Mia sõi </w:t>
      </w:r>
      <w:r w:rsidDel="00000000" w:rsidR="00000000" w:rsidRPr="00000000">
        <w:rPr>
          <w:rFonts w:ascii="Calibri" w:cs="Calibri" w:eastAsia="Calibri" w:hAnsi="Calibri"/>
          <w:b w:val="1"/>
          <w:i w:val="1"/>
          <w:color w:val="1d2228"/>
          <w:rtl w:val="0"/>
        </w:rPr>
        <w:t xml:space="preserve">virsikut</w:t>
      </w:r>
      <w:r w:rsidDel="00000000" w:rsidR="00000000" w:rsidRPr="00000000">
        <w:rPr>
          <w:rFonts w:ascii="Calibri" w:cs="Calibri" w:eastAsia="Calibri" w:hAnsi="Calibri"/>
          <w:color w:val="1d2228"/>
          <w:rtl w:val="0"/>
        </w:rPr>
        <w:t xml:space="preserve"> (“Mia was eating a peach“; partitive object). </w:t>
      </w:r>
      <w:r w:rsidDel="00000000" w:rsidR="00000000" w:rsidRPr="00000000">
        <w:rPr>
          <w:rFonts w:ascii="Calibri" w:cs="Calibri" w:eastAsia="Calibri" w:hAnsi="Calibri"/>
          <w:i w:val="1"/>
          <w:color w:val="1d2228"/>
          <w:rtl w:val="0"/>
        </w:rPr>
        <w:t xml:space="preserve">Mia sõi </w:t>
      </w:r>
      <w:r w:rsidDel="00000000" w:rsidR="00000000" w:rsidRPr="00000000">
        <w:rPr>
          <w:rFonts w:ascii="Calibri" w:cs="Calibri" w:eastAsia="Calibri" w:hAnsi="Calibri"/>
          <w:b w:val="1"/>
          <w:i w:val="1"/>
          <w:color w:val="1d2228"/>
          <w:rtl w:val="0"/>
        </w:rPr>
        <w:t xml:space="preserve">virsiku</w:t>
      </w:r>
      <w:r w:rsidDel="00000000" w:rsidR="00000000" w:rsidRPr="00000000">
        <w:rPr>
          <w:rFonts w:ascii="Calibri" w:cs="Calibri" w:eastAsia="Calibri" w:hAnsi="Calibri"/>
          <w:i w:val="1"/>
          <w:color w:val="1d2228"/>
          <w:rtl w:val="0"/>
        </w:rPr>
        <w:t xml:space="preserve"> ära</w:t>
      </w:r>
      <w:r w:rsidDel="00000000" w:rsidR="00000000" w:rsidRPr="00000000">
        <w:rPr>
          <w:rFonts w:ascii="Calibri" w:cs="Calibri" w:eastAsia="Calibri" w:hAnsi="Calibri"/>
          <w:color w:val="1d2228"/>
          <w:rtl w:val="0"/>
        </w:rPr>
        <w:t xml:space="preserve"> (“Mia ate the peach up“; genitive object). Palun söö </w:t>
      </w:r>
      <w:r w:rsidDel="00000000" w:rsidR="00000000" w:rsidRPr="00000000">
        <w:rPr>
          <w:rFonts w:ascii="Calibri" w:cs="Calibri" w:eastAsia="Calibri" w:hAnsi="Calibri"/>
          <w:b w:val="1"/>
          <w:color w:val="1d2228"/>
          <w:rtl w:val="0"/>
        </w:rPr>
        <w:t xml:space="preserve">virsik</w:t>
      </w:r>
      <w:r w:rsidDel="00000000" w:rsidR="00000000" w:rsidRPr="00000000">
        <w:rPr>
          <w:rFonts w:ascii="Calibri" w:cs="Calibri" w:eastAsia="Calibri" w:hAnsi="Calibri"/>
          <w:color w:val="1d2228"/>
          <w:rtl w:val="0"/>
        </w:rPr>
        <w:t xml:space="preserve"> ära („Please eat the peach up“, nominative object). In Estonian finite clauses objects are marked genitive if the referent’s quantity and action are bounded and the clause is affirmative. The object is in the partitive if the speaker wants to express that the duration, volume and/or result of an action is vague and imprecise (Ogren 2015: 281). The nominative object can be used in imperative and certain infinite clauses.</w:t>
      </w:r>
    </w:p>
    <w:p w:rsidR="00000000" w:rsidDel="00000000" w:rsidP="00000000" w:rsidRDefault="00000000" w:rsidRPr="00000000" w14:paraId="00000002">
      <w:pPr>
        <w:shd w:fill="ffffff" w:val="clear"/>
        <w:spacing w:after="200" w:line="276.0005454545455" w:lineRule="auto"/>
        <w:jc w:val="both"/>
        <w:rPr>
          <w:rFonts w:ascii="Calibri" w:cs="Calibri" w:eastAsia="Calibri" w:hAnsi="Calibri"/>
          <w:color w:val="1d2228"/>
        </w:rPr>
      </w:pPr>
      <w:r w:rsidDel="00000000" w:rsidR="00000000" w:rsidRPr="00000000">
        <w:rPr>
          <w:rFonts w:ascii="Calibri" w:cs="Calibri" w:eastAsia="Calibri" w:hAnsi="Calibri"/>
          <w:color w:val="1d2228"/>
          <w:rtl w:val="0"/>
        </w:rPr>
        <w:t xml:space="preserve">De Hoop and Malchukov (2008) suggest that symmetric DOM expresses differences in the referential properties of the object (IDENTIFY) whereas asymmetric DOM enables speakers to distinguish the direct object from the subject (DISTINGUISHABILITY). Symmetric DOM is typical of the Circum-Baltic area, incl. the Finnic languages (Iemmolo 2013: 381). Estonian object case alternation represents both symmetric and asymmetric DOM (Ogren 2015). That is, Estonian object’s case marking can either alternate between two overtly marked case forms or between an overtly marked and zero-marked form (the partitive and the genitive vs. the partitive and nominative respectively).</w:t>
      </w:r>
    </w:p>
    <w:p w:rsidR="00000000" w:rsidDel="00000000" w:rsidP="00000000" w:rsidRDefault="00000000" w:rsidRPr="00000000" w14:paraId="00000003">
      <w:pPr>
        <w:shd w:fill="ffffff" w:val="clear"/>
        <w:spacing w:after="200" w:line="276.0005454545455" w:lineRule="auto"/>
        <w:jc w:val="both"/>
        <w:rPr/>
      </w:pPr>
      <w:r w:rsidDel="00000000" w:rsidR="00000000" w:rsidRPr="00000000">
        <w:rPr>
          <w:rFonts w:ascii="Calibri" w:cs="Calibri" w:eastAsia="Calibri" w:hAnsi="Calibri"/>
          <w:color w:val="1d2228"/>
          <w:rtl w:val="0"/>
        </w:rPr>
        <w:t xml:space="preserve">This complex system of grammatical, semantic and verb or construction-specific DOM factors is difficult for L2 Estonian learners. After 12 years of learning students of minority  schools only obtain the basics of object case use. Sometimes the object case rules even pose difficulty for teachers. In the paper I will present the tools that the University of Tartu linguists and partners developed for B2 and C1 level learners and their teachers. These tools are a simple game </w:t>
      </w:r>
      <w:hyperlink r:id="rId6">
        <w:r w:rsidDel="00000000" w:rsidR="00000000" w:rsidRPr="00000000">
          <w:rPr>
            <w:rFonts w:ascii="Calibri" w:cs="Calibri" w:eastAsia="Calibri" w:hAnsi="Calibri"/>
            <w:color w:val="0000ff"/>
            <w:u w:val="single"/>
            <w:rtl w:val="0"/>
          </w:rPr>
          <w:t xml:space="preserve">Käänuk</w:t>
        </w:r>
      </w:hyperlink>
      <w:r w:rsidDel="00000000" w:rsidR="00000000" w:rsidRPr="00000000">
        <w:rPr>
          <w:rFonts w:ascii="Calibri" w:cs="Calibri" w:eastAsia="Calibri" w:hAnsi="Calibri"/>
          <w:color w:val="1d2228"/>
          <w:rtl w:val="0"/>
        </w:rPr>
        <w:t xml:space="preserve"> and the object case dictionary (</w:t>
      </w:r>
      <w:hyperlink r:id="rId7">
        <w:r w:rsidDel="00000000" w:rsidR="00000000" w:rsidRPr="00000000">
          <w:rPr>
            <w:rFonts w:ascii="Calibri" w:cs="Calibri" w:eastAsia="Calibri" w:hAnsi="Calibri"/>
            <w:i w:val="1"/>
            <w:color w:val="0000ff"/>
            <w:u w:val="single"/>
            <w:rtl w:val="0"/>
          </w:rPr>
          <w:t xml:space="preserve">Sihitisesõnastik</w:t>
        </w:r>
      </w:hyperlink>
      <w:r w:rsidDel="00000000" w:rsidR="00000000" w:rsidRPr="00000000">
        <w:rPr>
          <w:rFonts w:ascii="Calibri" w:cs="Calibri" w:eastAsia="Calibri" w:hAnsi="Calibri"/>
          <w:color w:val="1d2228"/>
          <w:rtl w:val="0"/>
        </w:rPr>
        <w:t xml:space="preserve">). I will also briefly discuss the team’s methodological choices, development process and experience of testing the game at schools.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k44nuk.ee/" TargetMode="External"/><Relationship Id="rId7" Type="http://schemas.openxmlformats.org/officeDocument/2006/relationships/hyperlink" Target="http://www.eki.ee/dic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